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440"/>
      </w:pPr>
      <w:r>
        <w:rPr>
          <w:rFonts w:ascii="Arial" w:cs="Arial" w:eastAsia="Arial" w:hAnsi="Arial"/>
          <w:b/>
          <w:bCs/>
          <w:color w:val="E8673A"/>
          <w:spacing w:val="300"/>
          <w:sz w:val="20"/>
          <w:szCs w:val="20"/>
        </w:rPr>
        <w:t xml:space="preserve">ATTUNE</w:t>
      </w:r>
    </w:p>
    <w:p>
      <w:pPr>
        <w:spacing w:after="120" w:before="0"/>
      </w:pPr>
      <w:r>
        <w:rPr>
          <w:rFonts w:ascii="Arial" w:cs="Arial" w:eastAsia="Arial" w:hAnsi="Arial"/>
          <w:b/>
          <w:bCs/>
          <w:color w:val="0E0B07"/>
          <w:sz w:val="52"/>
          <w:szCs w:val="52"/>
        </w:rPr>
        <w:t xml:space="preserve">How Attune Works</w:t>
      </w:r>
    </w:p>
    <w:p>
      <w:pPr>
        <w:spacing w:after="80" w:before="0"/>
      </w:pPr>
      <w:r>
        <w:rPr>
          <w:rFonts w:ascii="Arial" w:cs="Arial" w:eastAsia="Arial" w:hAnsi="Arial"/>
          <w:i/>
          <w:iCs/>
          <w:color w:val="8C7A68"/>
          <w:sz w:val="26"/>
          <w:szCs w:val="26"/>
        </w:rPr>
        <w:t xml:space="preserve">A complete guide to the exercise structure, measurement system, and couple type derivation</w:t>
      </w:r>
    </w:p>
    <w:p>
      <w:pPr>
        <w:spacing w:after="1800" w:before="0"/>
      </w:pPr>
      <w:r>
        <w:rPr>
          <w:rFonts w:ascii="Arial" w:cs="Arial" w:eastAsia="Arial" w:hAnsi="Arial"/>
          <w:color w:val="8C7A68"/>
          <w:sz w:val="22"/>
          <w:szCs w:val="22"/>
        </w:rPr>
        <w:t xml:space="preserve">attune-relationships.com  ·  hello@attune-relationships.com</w:t>
      </w:r>
    </w:p>
    <w:p>
      <w:pPr>
        <w:pageBreakBefore/>
      </w:pPr>
      <w:r>
        <w:br/>
        <w:t xml:space="preserve"/>
      </w:r>
    </w:p>
    <w:p>
      <w:pPr>
        <w:pStyle w:val="Heading1"/>
        <w:spacing w:after="180" w:before="440"/>
      </w:pPr>
      <w:r>
        <w:rPr>
          <w:rFonts w:ascii="Arial" w:cs="Arial" w:eastAsia="Arial" w:hAnsi="Arial"/>
          <w:b/>
          <w:bCs/>
          <w:color w:val="0E0B07"/>
          <w:sz w:val="36"/>
          <w:szCs w:val="36"/>
        </w:rPr>
        <w:t xml:space="preserve">What this document covers</w:t>
      </w:r>
    </w:p>
    <w:p>
      <w:pPr>
        <w:spacing w:after="100" w:before="60"/>
      </w:pPr>
      <w:r>
        <w:rPr>
          <w:rFonts w:ascii="Arial" w:cs="Arial" w:eastAsia="Arial" w:hAnsi="Arial"/>
          <w:color w:val="0E0B07"/>
          <w:sz w:val="22"/>
          <w:szCs w:val="22"/>
        </w:rPr>
        <w:t xml:space="preserve">This document explains exactly what Attune measures, why, and how. It covers the exercise structure, the ten communication dimensions, how individual scores combine into a couple type designation, and what each type means. It also explains the limitations of the system honestly.</w:t>
      </w:r>
    </w:p>
    <w:p>
      <w:pPr>
        <w:spacing w:after="100" w:before="60"/>
      </w:pPr>
      <w:r>
        <w:rPr>
          <w:rFonts w:ascii="Arial" w:cs="Arial" w:eastAsia="Arial" w:hAnsi="Arial"/>
          <w:color w:val="0E0B07"/>
          <w:sz w:val="22"/>
          <w:szCs w:val="22"/>
        </w:rPr>
        <w:t xml:space="preserve">Attune is not a personality test. It does not measure who you are as individuals. It measures how you communicate — your patterns, orientations, and tendencies across the specific dimensions that relationship science has identified as most predictive of how couples function over time. The result is a shared picture of how you two work together, not a label for either of you alone.</w:t>
      </w:r>
    </w:p>
    <w:p>
      <w:pPr>
        <w:spacing w:after="160" w:before="0"/>
      </w:pPr>
    </w:p>
    <w:p>
      <w:pPr>
        <w:pStyle w:val="Heading1"/>
        <w:spacing w:after="180" w:before="440"/>
      </w:pPr>
      <w:r>
        <w:rPr>
          <w:rFonts w:ascii="Arial" w:cs="Arial" w:eastAsia="Arial" w:hAnsi="Arial"/>
          <w:b/>
          <w:bCs/>
          <w:color w:val="0E0B07"/>
          <w:sz w:val="36"/>
          <w:szCs w:val="36"/>
        </w:rPr>
        <w:t xml:space="preserve">Part 1 — The Exercise Structure</w:t>
      </w:r>
    </w:p>
    <w:p>
      <w:pPr>
        <w:spacing w:after="100" w:before="60"/>
      </w:pPr>
      <w:r>
        <w:rPr>
          <w:rFonts w:ascii="Arial" w:cs="Arial" w:eastAsia="Arial" w:hAnsi="Arial"/>
          <w:color w:val="0E0B07"/>
          <w:sz w:val="22"/>
          <w:szCs w:val="22"/>
        </w:rPr>
        <w:t xml:space="preserve">Attune has three exercises. Each partner completes them independently, on their own device, without seeing each other's answers until the results are ready.</w:t>
      </w:r>
    </w:p>
    <w:p>
      <w:pPr>
        <w:spacing w:after="80" w:before="0"/>
      </w:pPr>
    </w:p>
    <w:p>
      <w:pPr>
        <w:pStyle w:val="Heading2"/>
        <w:spacing w:after="120" w:before="300"/>
      </w:pPr>
      <w:r>
        <w:rPr>
          <w:rFonts w:ascii="Arial" w:cs="Arial" w:eastAsia="Arial" w:hAnsi="Arial"/>
          <w:b/>
          <w:bCs/>
          <w:color w:val="0E0B07"/>
          <w:sz w:val="26"/>
          <w:szCs w:val="26"/>
        </w:rPr>
        <w:t xml:space="preserve">Exercise 1 — Communication (50 questions)</w:t>
      </w:r>
    </w:p>
    <w:p>
      <w:pPr>
        <w:spacing w:after="100" w:before="60"/>
      </w:pPr>
      <w:r>
        <w:rPr>
          <w:rFonts w:ascii="Arial" w:cs="Arial" w:eastAsia="Arial" w:hAnsi="Arial"/>
          <w:color w:val="0E0B07"/>
          <w:sz w:val="22"/>
          <w:szCs w:val="22"/>
        </w:rPr>
        <w:t xml:space="preserve">The core of the system. Each partner answers 50 binary-choice questions across ten communication dimensions, five questions per dimension. The questions are written as first-person behavioral statements — they ask what you tend to do, not what you value or aspire to. This distinction matters: behavior is more stable over time and more predictive of relational dynamics than stated values.</w:t>
      </w:r>
    </w:p>
    <w:p>
      <w:pPr>
        <w:spacing w:after="100" w:before="60"/>
      </w:pPr>
      <w:r>
        <w:rPr>
          <w:rFonts w:ascii="Arial" w:cs="Arial" w:eastAsia="Arial" w:hAnsi="Arial"/>
          <w:color w:val="0E0B07"/>
          <w:sz w:val="22"/>
          <w:szCs w:val="22"/>
        </w:rPr>
        <w:t xml:space="preserve">Each question presents two options (labeled a and b). Answers are scored 1 or 5, with the midpoint option where available scoring as a 3. Five answers per dimension produce a dimension average between 1 and 5. The score represents where the person sits on that dimension's behavioral axis.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0EB" w:val="clear"/>
            <w:tcMar>
              <w:top w:type="dxa" w:w="160"/>
              <w:left w:type="dxa" w:w="220"/>
              <w:bottom w:type="dxa" w:w="160"/>
              <w:right w:type="dxa" w:w="220"/>
            </w:tcMar>
          </w:tcPr>
          <w:p>
            <w:pPr>
              <w:spacing w:after="60" w:before="0"/>
            </w:pPr>
            <w:r>
              <w:rPr>
                <w:rFonts w:ascii="Arial" w:cs="Arial" w:eastAsia="Arial" w:hAnsi="Arial"/>
                <w:b/>
                <w:bCs/>
                <w:color w:val="E8673A"/>
                <w:sz w:val="18"/>
                <w:szCs w:val="18"/>
              </w:rPr>
              <w:t xml:space="preserve">WHY BINARY QUESTIONS?</w:t>
            </w:r>
          </w:p>
          <w:p>
            <w:pPr>
              <w:spacing w:after="0" w:before="0"/>
            </w:pPr>
            <w:r>
              <w:rPr>
                <w:rFonts w:ascii="Arial" w:cs="Arial" w:eastAsia="Arial" w:hAnsi="Arial"/>
                <w:i/>
                <w:iCs/>
                <w:color w:val="0E0B07"/>
                <w:sz w:val="22"/>
                <w:szCs w:val="22"/>
              </w:rPr>
              <w:t xml:space="preserve">Forced-choice formats reduce social desirability bias — the tendency to answer in ways that seem more admirable rather than more accurate. When both options are presented as equally valid approaches, people are more likely to pick the one that actually describes them.</w:t>
            </w:r>
          </w:p>
        </w:tc>
      </w:tr>
    </w:tbl>
    <w:p>
      <w:pPr>
        <w:spacing w:after="80" w:before="0"/>
      </w:pPr>
    </w:p>
    <w:p>
      <w:pPr>
        <w:pStyle w:val="Heading2"/>
        <w:spacing w:after="120" w:before="300"/>
      </w:pPr>
      <w:r>
        <w:rPr>
          <w:rFonts w:ascii="Arial" w:cs="Arial" w:eastAsia="Arial" w:hAnsi="Arial"/>
          <w:b/>
          <w:bCs/>
          <w:color w:val="0E0B07"/>
          <w:sz w:val="26"/>
          <w:szCs w:val="26"/>
        </w:rPr>
        <w:t xml:space="preserve">Exercise 2 — Expectations (Shared Responsibilities)</w:t>
      </w:r>
    </w:p>
    <w:p>
      <w:pPr>
        <w:spacing w:after="100" w:before="60"/>
      </w:pPr>
      <w:r>
        <w:rPr>
          <w:rFonts w:ascii="Arial" w:cs="Arial" w:eastAsia="Arial" w:hAnsi="Arial"/>
          <w:color w:val="0E0B07"/>
          <w:sz w:val="22"/>
          <w:szCs w:val="22"/>
        </w:rPr>
        <w:t xml:space="preserve">Both partners independently indicate who currently handles, or who they expect to handle, responsibilities across ten categories: household, finances, social life, family, emotional labor, planning, health, career, parenting, and home administration. The result is an expectations alignment score — what percentage of items both partners answered the same way.</w:t>
      </w:r>
    </w:p>
    <w:p>
      <w:pPr>
        <w:spacing w:after="100" w:before="60"/>
      </w:pPr>
      <w:r>
        <w:rPr>
          <w:rFonts w:ascii="Arial" w:cs="Arial" w:eastAsia="Arial" w:hAnsi="Arial"/>
          <w:color w:val="0E0B07"/>
          <w:sz w:val="22"/>
          <w:szCs w:val="22"/>
        </w:rPr>
        <w:t xml:space="preserve">This exercise captures the practical layer of a relationship that communication style alone doesn't address. Research consistently shows that expectation mismatches around roles and responsibilities are a significant driver of relationship dissatisfaction, independent of how well a couple communicates.</w:t>
      </w:r>
    </w:p>
    <w:p>
      <w:pPr>
        <w:spacing w:after="80" w:before="0"/>
      </w:pPr>
    </w:p>
    <w:p>
      <w:pPr>
        <w:pStyle w:val="Heading2"/>
        <w:spacing w:after="120" w:before="300"/>
      </w:pPr>
      <w:r>
        <w:rPr>
          <w:rFonts w:ascii="Arial" w:cs="Arial" w:eastAsia="Arial" w:hAnsi="Arial"/>
          <w:b/>
          <w:bCs/>
          <w:color w:val="0E0B07"/>
          <w:sz w:val="26"/>
          <w:szCs w:val="26"/>
        </w:rPr>
        <w:t xml:space="preserve">Exercise 3 — Couple Typing (15 questions, optional)</w:t>
      </w:r>
    </w:p>
    <w:p>
      <w:pPr>
        <w:spacing w:after="100" w:before="60"/>
      </w:pPr>
      <w:r>
        <w:rPr>
          <w:rFonts w:ascii="Arial" w:cs="Arial" w:eastAsia="Arial" w:hAnsi="Arial"/>
          <w:color w:val="0E0B07"/>
          <w:sz w:val="22"/>
          <w:szCs w:val="22"/>
        </w:rPr>
        <w:t xml:space="preserve">An optional exercise answered jointly or separately about the relationship as a unit. Unlike Exercises 1 and 2, which ask about each person individually, these questions ask about the couple's shared patterns: how they handle conflict, what repair looks like, how they balance closeness and independence, what their structural rhythms look like.</w:t>
      </w:r>
    </w:p>
    <w:p>
      <w:pPr>
        <w:spacing w:after="100" w:before="60"/>
      </w:pPr>
      <w:r>
        <w:rPr>
          <w:rFonts w:ascii="Arial" w:cs="Arial" w:eastAsia="Arial" w:hAnsi="Arial"/>
          <w:color w:val="0E0B07"/>
          <w:sz w:val="22"/>
          <w:szCs w:val="22"/>
        </w:rPr>
        <w:t xml:space="preserve">The 15 questions cover six categories: Conflict (3 questions), Closeness (3 questions), Expression (3 questions), Structure (1 question), Expectations (1 question), and Overall (4 questions). When completed, these answers act as confirmatory signals that can sharpen or override the type designation produced by Exercise 1 alone.</w:t>
      </w:r>
    </w:p>
    <w:p>
      <w:pPr>
        <w:spacing w:after="160" w:before="0"/>
      </w:pPr>
    </w:p>
    <w:p>
      <w:pPr>
        <w:pStyle w:val="Heading1"/>
        <w:spacing w:after="180" w:before="440"/>
      </w:pPr>
      <w:r>
        <w:rPr>
          <w:rFonts w:ascii="Arial" w:cs="Arial" w:eastAsia="Arial" w:hAnsi="Arial"/>
          <w:b/>
          <w:bCs/>
          <w:color w:val="0E0B07"/>
          <w:sz w:val="36"/>
          <w:szCs w:val="36"/>
        </w:rPr>
        <w:t xml:space="preserve">Part 2 — The Ten Communication Dimensions</w:t>
      </w:r>
    </w:p>
    <w:p>
      <w:pPr>
        <w:spacing w:after="100" w:before="60"/>
      </w:pPr>
      <w:r>
        <w:rPr>
          <w:rFonts w:ascii="Arial" w:cs="Arial" w:eastAsia="Arial" w:hAnsi="Arial"/>
          <w:color w:val="0E0B07"/>
          <w:sz w:val="22"/>
          <w:szCs w:val="22"/>
        </w:rPr>
        <w:t xml:space="preserve">Exercise 1 measures ten dimensions, each grounded in peer-reviewed relationship science. The table below shows each dimension, the questions that contribute to it, what the scale measures, how to interpret the poles, and the primary research basis.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80"/>
        <w:gridCol w:w="2040"/>
        <w:gridCol w:w="1920"/>
        <w:gridCol w:w="1920"/>
        <w:gridCol w:w="1800"/>
      </w:tblGrid>
      <w:tr>
        <w:trPr>
          <w:tblHeader/>
        </w:trPr>
        <w:tc>
          <w:tcPr>
            <w:tcW w:type="dxa" w:w="168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Dimension</w:t>
            </w:r>
          </w:p>
        </w:tc>
        <w:tc>
          <w:tcPr>
            <w:tcW w:type="dxa" w:w="204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Questions</w:t>
            </w:r>
          </w:p>
        </w:tc>
        <w:tc>
          <w:tcPr>
            <w:tcW w:type="dxa" w:w="192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What it measures</w:t>
            </w:r>
          </w:p>
        </w:tc>
        <w:tc>
          <w:tcPr>
            <w:tcW w:type="dxa" w:w="192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Scale poles</w:t>
            </w:r>
          </w:p>
        </w:tc>
        <w:tc>
          <w:tcPr>
            <w:tcW w:type="dxa" w:w="180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Primary sources</w:t>
            </w:r>
          </w:p>
        </w:tc>
      </w:tr>
      <w:tr>
        <w:tc>
          <w:tcPr>
            <w:tcW w:type="dxa" w:w="16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Energy &amp; Recharge</w:t>
            </w:r>
          </w:p>
        </w:tc>
        <w:tc>
          <w:tcPr>
            <w:tcW w:type="dxa" w:w="204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Courier New" w:cs="Courier New" w:eastAsia="Courier New" w:hAnsi="Courier New"/>
                <w:color w:val="E8673A"/>
                <w:sz w:val="18"/>
                <w:szCs w:val="18"/>
              </w:rPr>
              <w:t xml:space="preserve">en1–en5</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How a person recharges; orientation toward or away from social stimulation</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inward, solitude-seeking</w:t>
            </w:r>
          </w:p>
          <w:p>
            <w:pPr>
              <w:spacing w:after="20" w:before="0"/>
            </w:pPr>
            <w:r>
              <w:rPr>
                <w:rFonts w:ascii="Arial" w:cs="Arial" w:eastAsia="Arial" w:hAnsi="Arial"/>
                <w:color w:val="8C7A68"/>
                <w:sz w:val="18"/>
                <w:szCs w:val="18"/>
              </w:rPr>
              <w:t xml:space="preserve">High = outward, people-energized</w:t>
            </w:r>
          </w:p>
        </w:tc>
        <w:tc>
          <w:tcPr>
            <w:tcW w:type="dxa" w:w="18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Eysenck (1967); Gray RST (2000)</w:t>
            </w:r>
          </w:p>
        </w:tc>
      </w:tr>
      <w:tr>
        <w:tc>
          <w:tcPr>
            <w:tcW w:type="dxa" w:w="16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Emotional Expression</w:t>
            </w:r>
          </w:p>
        </w:tc>
        <w:tc>
          <w:tcPr>
            <w:tcW w:type="dxa" w:w="204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Courier New" w:cs="Courier New" w:eastAsia="Courier New" w:hAnsi="Courier New"/>
                <w:color w:val="E8673A"/>
                <w:sz w:val="18"/>
                <w:szCs w:val="18"/>
              </w:rPr>
              <w:t xml:space="preserve">ex1–ex5</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How openly a person shares their internal emotional experience</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guarded, processes privately</w:t>
            </w:r>
          </w:p>
          <w:p>
            <w:pPr>
              <w:spacing w:after="20" w:before="0"/>
            </w:pPr>
            <w:r>
              <w:rPr>
                <w:rFonts w:ascii="Arial" w:cs="Arial" w:eastAsia="Arial" w:hAnsi="Arial"/>
                <w:color w:val="8C7A68"/>
                <w:sz w:val="18"/>
                <w:szCs w:val="18"/>
              </w:rPr>
              <w:t xml:space="preserve">High = expressive, shares readily</w:t>
            </w:r>
          </w:p>
        </w:tc>
        <w:tc>
          <w:tcPr>
            <w:tcW w:type="dxa" w:w="18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Pennebaker (1997); Reis &amp; Shaver (1988)</w:t>
            </w:r>
          </w:p>
        </w:tc>
      </w:tr>
      <w:tr>
        <w:tc>
          <w:tcPr>
            <w:tcW w:type="dxa" w:w="16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Needs Directness</w:t>
            </w:r>
          </w:p>
        </w:tc>
        <w:tc>
          <w:tcPr>
            <w:tcW w:type="dxa" w:w="204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Courier New" w:cs="Courier New" w:eastAsia="Courier New" w:hAnsi="Courier New"/>
                <w:color w:val="E8673A"/>
                <w:sz w:val="18"/>
                <w:szCs w:val="18"/>
              </w:rPr>
              <w:t xml:space="preserve">nd1–nd5</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How explicitly a person asks for what they need from their partner</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indirect, signals and hints</w:t>
            </w:r>
          </w:p>
          <w:p>
            <w:pPr>
              <w:spacing w:after="20" w:before="0"/>
            </w:pPr>
            <w:r>
              <w:rPr>
                <w:rFonts w:ascii="Arial" w:cs="Arial" w:eastAsia="Arial" w:hAnsi="Arial"/>
                <w:color w:val="8C7A68"/>
                <w:sz w:val="18"/>
                <w:szCs w:val="18"/>
              </w:rPr>
              <w:t xml:space="preserve">High = direct, names what they need</w:t>
            </w:r>
          </w:p>
        </w:tc>
        <w:tc>
          <w:tcPr>
            <w:tcW w:type="dxa" w:w="18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Markman et al. (2010); Gottman &amp; Silver (1999)</w:t>
            </w:r>
          </w:p>
        </w:tc>
      </w:tr>
      <w:tr>
        <w:tc>
          <w:tcPr>
            <w:tcW w:type="dxa" w:w="16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Bid Responsiveness</w:t>
            </w:r>
          </w:p>
        </w:tc>
        <w:tc>
          <w:tcPr>
            <w:tcW w:type="dxa" w:w="204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Courier New" w:cs="Courier New" w:eastAsia="Courier New" w:hAnsi="Courier New"/>
                <w:color w:val="E8673A"/>
                <w:sz w:val="18"/>
                <w:szCs w:val="18"/>
              </w:rPr>
              <w:t xml:space="preserve">bd1–bd5</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How attuned a person is to their partner's small bids for connection</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often misses bids, absorbed elsewhere</w:t>
            </w:r>
          </w:p>
          <w:p>
            <w:pPr>
              <w:spacing w:after="20" w:before="0"/>
            </w:pPr>
            <w:r>
              <w:rPr>
                <w:rFonts w:ascii="Arial" w:cs="Arial" w:eastAsia="Arial" w:hAnsi="Arial"/>
                <w:color w:val="8C7A68"/>
                <w:sz w:val="18"/>
                <w:szCs w:val="18"/>
              </w:rPr>
              <w:t xml:space="preserve">High = consistently notices and responds</w:t>
            </w:r>
          </w:p>
        </w:tc>
        <w:tc>
          <w:tcPr>
            <w:tcW w:type="dxa" w:w="18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Gottman (2001)</w:t>
            </w:r>
          </w:p>
        </w:tc>
      </w:tr>
      <w:tr>
        <w:tc>
          <w:tcPr>
            <w:tcW w:type="dxa" w:w="16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Conflict Timing</w:t>
            </w:r>
          </w:p>
        </w:tc>
        <w:tc>
          <w:tcPr>
            <w:tcW w:type="dxa" w:w="204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Courier New" w:cs="Courier New" w:eastAsia="Courier New" w:hAnsi="Courier New"/>
                <w:color w:val="E8673A"/>
                <w:sz w:val="18"/>
                <w:szCs w:val="18"/>
              </w:rPr>
              <w:t xml:space="preserve">cf1–cf5</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How quickly a person engages with conflict vs. needs space first</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fast-engage, addresses immediately</w:t>
            </w:r>
          </w:p>
          <w:p>
            <w:pPr>
              <w:spacing w:after="20" w:before="0"/>
            </w:pPr>
            <w:r>
              <w:rPr>
                <w:rFonts w:ascii="Arial" w:cs="Arial" w:eastAsia="Arial" w:hAnsi="Arial"/>
                <w:color w:val="8C7A68"/>
                <w:sz w:val="18"/>
                <w:szCs w:val="18"/>
              </w:rPr>
              <w:t xml:space="preserve">High = space-first, needs time before talking</w:t>
            </w:r>
          </w:p>
        </w:tc>
        <w:tc>
          <w:tcPr>
            <w:tcW w:type="dxa" w:w="18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Gottman &amp; Levenson (1992); Baucom et al. (2015)</w:t>
            </w:r>
          </w:p>
        </w:tc>
      </w:tr>
      <w:tr>
        <w:tc>
          <w:tcPr>
            <w:tcW w:type="dxa" w:w="16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Repair Style</w:t>
            </w:r>
          </w:p>
        </w:tc>
        <w:tc>
          <w:tcPr>
            <w:tcW w:type="dxa" w:w="204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Courier New" w:cs="Courier New" w:eastAsia="Courier New" w:hAnsi="Courier New"/>
                <w:color w:val="E8673A"/>
                <w:sz w:val="18"/>
                <w:szCs w:val="18"/>
              </w:rPr>
              <w:t xml:space="preserve">rp1–rp5</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Whether repair happens through explicit conversation or gesture and warmth</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gesture-led, warmth signals repair</w:t>
            </w:r>
          </w:p>
          <w:p>
            <w:pPr>
              <w:spacing w:after="20" w:before="0"/>
            </w:pPr>
            <w:r>
              <w:rPr>
                <w:rFonts w:ascii="Arial" w:cs="Arial" w:eastAsia="Arial" w:hAnsi="Arial"/>
                <w:color w:val="8C7A68"/>
                <w:sz w:val="18"/>
                <w:szCs w:val="18"/>
              </w:rPr>
              <w:t xml:space="preserve">High = talk-through, needs explicit words</w:t>
            </w:r>
          </w:p>
        </w:tc>
        <w:tc>
          <w:tcPr>
            <w:tcW w:type="dxa" w:w="18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Gottman (1994, 2001)</w:t>
            </w:r>
          </w:p>
        </w:tc>
      </w:tr>
      <w:tr>
        <w:tc>
          <w:tcPr>
            <w:tcW w:type="dxa" w:w="16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Closeness Orientation</w:t>
            </w:r>
          </w:p>
        </w:tc>
        <w:tc>
          <w:tcPr>
            <w:tcW w:type="dxa" w:w="204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Courier New" w:cs="Courier New" w:eastAsia="Courier New" w:hAnsi="Courier New"/>
                <w:color w:val="E8673A"/>
                <w:sz w:val="18"/>
                <w:szCs w:val="18"/>
              </w:rPr>
              <w:t xml:space="preserve">cl1–cl5</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Whether a person leans toward independence or closeness within a relationship</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autonomous, values separate life</w:t>
            </w:r>
          </w:p>
          <w:p>
            <w:pPr>
              <w:spacing w:after="20" w:before="0"/>
            </w:pPr>
            <w:r>
              <w:rPr>
                <w:rFonts w:ascii="Arial" w:cs="Arial" w:eastAsia="Arial" w:hAnsi="Arial"/>
                <w:color w:val="8C7A68"/>
                <w:sz w:val="18"/>
                <w:szCs w:val="18"/>
              </w:rPr>
              <w:t xml:space="preserve">High = close-seeking, wants highly shared life</w:t>
            </w:r>
          </w:p>
        </w:tc>
        <w:tc>
          <w:tcPr>
            <w:tcW w:type="dxa" w:w="18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Bowlby (1969); Mikulincer &amp; Shaver (2007)</w:t>
            </w:r>
          </w:p>
        </w:tc>
      </w:tr>
      <w:tr>
        <w:tc>
          <w:tcPr>
            <w:tcW w:type="dxa" w:w="16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Love Reception</w:t>
            </w:r>
          </w:p>
        </w:tc>
        <w:tc>
          <w:tcPr>
            <w:tcW w:type="dxa" w:w="204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Courier New" w:cs="Courier New" w:eastAsia="Courier New" w:hAnsi="Courier New"/>
                <w:color w:val="E8673A"/>
                <w:sz w:val="18"/>
                <w:szCs w:val="18"/>
              </w:rPr>
              <w:t xml:space="preserve">lv1–lv5</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How a person most reliably feels loved by their partner</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words/presence primary</w:t>
            </w:r>
          </w:p>
          <w:p>
            <w:pPr>
              <w:spacing w:after="20" w:before="0"/>
            </w:pPr>
            <w:r>
              <w:rPr>
                <w:rFonts w:ascii="Arial" w:cs="Arial" w:eastAsia="Arial" w:hAnsi="Arial"/>
                <w:color w:val="8C7A68"/>
                <w:sz w:val="18"/>
                <w:szCs w:val="18"/>
              </w:rPr>
              <w:t xml:space="preserve">High = acts/quality time primary</w:t>
            </w:r>
          </w:p>
        </w:tc>
        <w:tc>
          <w:tcPr>
            <w:tcW w:type="dxa" w:w="18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Goff et al. (2007); Chapman (1992)</w:t>
            </w:r>
          </w:p>
        </w:tc>
      </w:tr>
      <w:tr>
        <w:tc>
          <w:tcPr>
            <w:tcW w:type="dxa" w:w="16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Stress Response</w:t>
            </w:r>
          </w:p>
        </w:tc>
        <w:tc>
          <w:tcPr>
            <w:tcW w:type="dxa" w:w="204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Courier New" w:cs="Courier New" w:eastAsia="Courier New" w:hAnsi="Courier New"/>
                <w:color w:val="E8673A"/>
                <w:sz w:val="18"/>
                <w:szCs w:val="18"/>
              </w:rPr>
              <w:t xml:space="preserve">st1–st5</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How a person's communication changes under stress or pressure</w:t>
            </w:r>
          </w:p>
        </w:tc>
        <w:tc>
          <w:tcPr>
            <w:tcW w:type="dxa" w:w="192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withdraws, goes quiet under stress</w:t>
            </w:r>
          </w:p>
          <w:p>
            <w:pPr>
              <w:spacing w:after="20" w:before="0"/>
            </w:pPr>
            <w:r>
              <w:rPr>
                <w:rFonts w:ascii="Arial" w:cs="Arial" w:eastAsia="Arial" w:hAnsi="Arial"/>
                <w:color w:val="8C7A68"/>
                <w:sz w:val="18"/>
                <w:szCs w:val="18"/>
              </w:rPr>
              <w:t xml:space="preserve">High = reaches outward, seeks contact under stress</w:t>
            </w:r>
          </w:p>
        </w:tc>
        <w:tc>
          <w:tcPr>
            <w:tcW w:type="dxa" w:w="18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Taylor et al. (2000); Bodenmann (2005)</w:t>
            </w:r>
          </w:p>
        </w:tc>
      </w:tr>
      <w:tr>
        <w:tc>
          <w:tcPr>
            <w:tcW w:type="dxa" w:w="16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b/>
                <w:bCs/>
                <w:color w:val="0E0B07"/>
                <w:sz w:val="19"/>
                <w:szCs w:val="19"/>
              </w:rPr>
              <w:t xml:space="preserve">Feedback Directness</w:t>
            </w:r>
          </w:p>
        </w:tc>
        <w:tc>
          <w:tcPr>
            <w:tcW w:type="dxa" w:w="204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Courier New" w:cs="Courier New" w:eastAsia="Courier New" w:hAnsi="Courier New"/>
                <w:color w:val="E8673A"/>
                <w:sz w:val="18"/>
                <w:szCs w:val="18"/>
              </w:rPr>
              <w:t xml:space="preserve">fb1–fb5</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0E0B07"/>
                <w:sz w:val="19"/>
                <w:szCs w:val="19"/>
              </w:rPr>
              <w:t xml:space="preserve">How directly a person gives and receives honest feedback</w:t>
            </w:r>
          </w:p>
        </w:tc>
        <w:tc>
          <w:tcPr>
            <w:tcW w:type="dxa" w:w="192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8"/>
                <w:szCs w:val="18"/>
              </w:rPr>
              <w:t xml:space="preserve">Low = avoidant, circles around difficult input</w:t>
            </w:r>
          </w:p>
          <w:p>
            <w:pPr>
              <w:spacing w:after="20" w:before="0"/>
            </w:pPr>
            <w:r>
              <w:rPr>
                <w:rFonts w:ascii="Arial" w:cs="Arial" w:eastAsia="Arial" w:hAnsi="Arial"/>
                <w:color w:val="8C7A68"/>
                <w:sz w:val="18"/>
                <w:szCs w:val="18"/>
              </w:rPr>
              <w:t xml:space="preserve">High = direct, comfortable with honest exchange</w:t>
            </w:r>
          </w:p>
        </w:tc>
        <w:tc>
          <w:tcPr>
            <w:tcW w:type="dxa" w:w="18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20" w:before="0"/>
            </w:pPr>
            <w:r>
              <w:rPr>
                <w:rFonts w:ascii="Arial" w:cs="Arial" w:eastAsia="Arial" w:hAnsi="Arial"/>
                <w:color w:val="8C7A68"/>
                <w:sz w:val="19"/>
                <w:szCs w:val="19"/>
              </w:rPr>
              <w:t xml:space="preserve">DePaulo &amp; Kashy (1998); Baucom &amp; Epstein (2002)</w:t>
            </w:r>
          </w:p>
        </w:tc>
      </w:tr>
    </w:tbl>
    <w:p>
      <w:pPr>
        <w:spacing w:after="160" w:before="0"/>
      </w:pPr>
    </w:p>
    <w:p>
      <w:pPr>
        <w:pStyle w:val="Heading2"/>
        <w:spacing w:after="120" w:before="300"/>
      </w:pPr>
      <w:r>
        <w:rPr>
          <w:rFonts w:ascii="Arial" w:cs="Arial" w:eastAsia="Arial" w:hAnsi="Arial"/>
          <w:b/>
          <w:bCs/>
          <w:color w:val="0E0B07"/>
          <w:sz w:val="26"/>
          <w:szCs w:val="26"/>
        </w:rPr>
        <w:t xml:space="preserve">How to read dimension scores</w:t>
      </w:r>
    </w:p>
    <w:p>
      <w:pPr>
        <w:spacing w:after="100" w:before="60"/>
      </w:pPr>
      <w:r>
        <w:rPr>
          <w:rFonts w:ascii="Arial" w:cs="Arial" w:eastAsia="Arial" w:hAnsi="Arial"/>
          <w:color w:val="0E0B07"/>
          <w:sz w:val="22"/>
          <w:szCs w:val="22"/>
        </w:rPr>
        <w:t xml:space="preserve">Each dimension score falls between 1 and 5. The midpoint (3.0) represents neither pole — a person who is genuinely variable or situational on that dimension. Scores below 2.5 indicate a consistent orientation toward the low pole; scores above 3.5 indicate a consistent orientation toward the high pole.</w:t>
      </w:r>
    </w:p>
    <w:p>
      <w:pPr>
        <w:spacing w:after="100" w:before="60"/>
      </w:pPr>
      <w:r>
        <w:rPr>
          <w:rFonts w:ascii="Arial" w:cs="Arial" w:eastAsia="Arial" w:hAnsi="Arial"/>
          <w:color w:val="0E0B07"/>
          <w:sz w:val="22"/>
          <w:szCs w:val="22"/>
        </w:rPr>
        <w:t xml:space="preserve">In the couple results, what matters is both where each person lands individually and the gap between them. A small gap means similar orientations; a large gap means meaningfully different ones. Both patterns have predictable strengths and predictable sticking points.</w:t>
      </w:r>
    </w:p>
    <w:p>
      <w:pPr>
        <w:spacing w:after="160" w:before="0"/>
      </w:pPr>
    </w:p>
    <w:p>
      <w:pPr>
        <w:pStyle w:val="Heading1"/>
        <w:spacing w:after="180" w:before="440"/>
      </w:pPr>
      <w:r>
        <w:rPr>
          <w:rFonts w:ascii="Arial" w:cs="Arial" w:eastAsia="Arial" w:hAnsi="Arial"/>
          <w:b/>
          <w:bCs/>
          <w:color w:val="0E0B07"/>
          <w:sz w:val="36"/>
          <w:szCs w:val="36"/>
        </w:rPr>
        <w:t xml:space="preserve">Part 3 — The Individual Style Code</w:t>
      </w:r>
    </w:p>
    <w:p>
      <w:pPr>
        <w:spacing w:after="100" w:before="60"/>
      </w:pPr>
      <w:r>
        <w:rPr>
          <w:rFonts w:ascii="Arial" w:cs="Arial" w:eastAsia="Arial" w:hAnsi="Arial"/>
          <w:color w:val="0E0B07"/>
          <w:sz w:val="22"/>
          <w:szCs w:val="22"/>
        </w:rPr>
        <w:t xml:space="preserve">Each person's dimension scores are compressed into a 6-letter style code. The code is an intermediate step in the analysis — it captures the six behavioral axes with the highest relational prediction value, derived from the six Exercise 1 dimensions most strongly associated with relational dynamics when partners differ.</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080"/>
        <w:gridCol w:w="2200"/>
        <w:gridCol w:w="2240"/>
        <w:gridCol w:w="1480"/>
        <w:gridCol w:w="1760"/>
      </w:tblGrid>
      <w:tr>
        <w:trPr>
          <w:tblHeader/>
        </w:trPr>
        <w:tc>
          <w:tcPr>
            <w:tcW w:type="dxa" w:w="60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w:t>
            </w:r>
          </w:p>
        </w:tc>
        <w:tc>
          <w:tcPr>
            <w:tcW w:type="dxa" w:w="108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Letter</w:t>
            </w:r>
          </w:p>
        </w:tc>
        <w:tc>
          <w:tcPr>
            <w:tcW w:type="dxa" w:w="220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Axis</w:t>
            </w:r>
          </w:p>
        </w:tc>
        <w:tc>
          <w:tcPr>
            <w:tcW w:type="dxa" w:w="224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Dimension source</w:t>
            </w:r>
          </w:p>
        </w:tc>
        <w:tc>
          <w:tcPr>
            <w:tcW w:type="dxa" w:w="148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Score → Letter A</w:t>
            </w:r>
          </w:p>
        </w:tc>
        <w:tc>
          <w:tcPr>
            <w:tcW w:type="dxa" w:w="176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Score → Letter B</w:t>
            </w:r>
          </w:p>
        </w:tc>
      </w:tr>
      <w:tr>
        <w:tc>
          <w:tcPr>
            <w:tcW w:type="dxa" w:w="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1</w:t>
            </w:r>
          </w:p>
        </w:tc>
        <w:tc>
          <w:tcPr>
            <w:tcW w:type="dxa" w:w="10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Courier New" w:cs="Courier New" w:eastAsia="Courier New" w:hAnsi="Courier New"/>
                <w:b/>
                <w:bCs/>
                <w:color w:val="E8673A"/>
                <w:sz w:val="20"/>
                <w:szCs w:val="20"/>
              </w:rPr>
              <w:t xml:space="preserve">E / I</w:t>
            </w:r>
          </w:p>
        </w:tc>
        <w:tc>
          <w:tcPr>
            <w:tcW w:type="dxa" w:w="22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0" w:before="0"/>
            </w:pPr>
            <w:r>
              <w:rPr>
                <w:rFonts w:ascii="Arial" w:cs="Arial" w:eastAsia="Arial" w:hAnsi="Arial"/>
                <w:b/>
                <w:bCs/>
                <w:color w:val="0E0B07"/>
                <w:sz w:val="19"/>
                <w:szCs w:val="19"/>
              </w:rPr>
              <w:t xml:space="preserve">Energy &amp; Recharge</w:t>
            </w:r>
          </w:p>
          <w:p>
            <w:pPr>
              <w:spacing w:after="0" w:before="0"/>
            </w:pPr>
            <w:r>
              <w:rPr>
                <w:rFonts w:ascii="Arial" w:cs="Arial" w:eastAsia="Arial" w:hAnsi="Arial"/>
                <w:color w:val="8C7A68"/>
                <w:sz w:val="17"/>
                <w:szCs w:val="17"/>
              </w:rPr>
              <w:t xml:space="preserve">How a person recharges socially</w:t>
            </w:r>
          </w:p>
        </w:tc>
        <w:tc>
          <w:tcPr>
            <w:tcW w:type="dxa" w:w="224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8C7A68"/>
                <w:sz w:val="18"/>
                <w:szCs w:val="18"/>
              </w:rPr>
              <w:t xml:space="preserve">How a person recharges socially</w:t>
            </w:r>
          </w:p>
        </w:tc>
        <w:tc>
          <w:tcPr>
            <w:tcW w:type="dxa" w:w="14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8"/>
                <w:szCs w:val="18"/>
              </w:rPr>
              <w:t xml:space="preserve">E: energy avg &gt; 3.0 → Outward</w:t>
            </w:r>
          </w:p>
        </w:tc>
        <w:tc>
          <w:tcPr>
            <w:tcW w:type="dxa" w:w="1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8"/>
                <w:szCs w:val="18"/>
              </w:rPr>
              <w:t xml:space="preserve">I: avg ≤ 3.0 → Inward</w:t>
            </w:r>
          </w:p>
        </w:tc>
      </w:tr>
      <w:tr>
        <w:tc>
          <w:tcPr>
            <w:tcW w:type="dxa" w:w="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2</w:t>
            </w:r>
          </w:p>
        </w:tc>
        <w:tc>
          <w:tcPr>
            <w:tcW w:type="dxa" w:w="10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Courier New" w:cs="Courier New" w:eastAsia="Courier New" w:hAnsi="Courier New"/>
                <w:b/>
                <w:bCs/>
                <w:color w:val="E8673A"/>
                <w:sz w:val="20"/>
                <w:szCs w:val="20"/>
              </w:rPr>
              <w:t xml:space="preserve">X / G</w:t>
            </w:r>
          </w:p>
        </w:tc>
        <w:tc>
          <w:tcPr>
            <w:tcW w:type="dxa" w:w="22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0" w:before="0"/>
            </w:pPr>
            <w:r>
              <w:rPr>
                <w:rFonts w:ascii="Arial" w:cs="Arial" w:eastAsia="Arial" w:hAnsi="Arial"/>
                <w:b/>
                <w:bCs/>
                <w:color w:val="0E0B07"/>
                <w:sz w:val="19"/>
                <w:szCs w:val="19"/>
              </w:rPr>
              <w:t xml:space="preserve">Expressiveness</w:t>
            </w:r>
          </w:p>
          <w:p>
            <w:pPr>
              <w:spacing w:after="0" w:before="0"/>
            </w:pPr>
            <w:r>
              <w:rPr>
                <w:rFonts w:ascii="Arial" w:cs="Arial" w:eastAsia="Arial" w:hAnsi="Arial"/>
                <w:color w:val="8C7A68"/>
                <w:sz w:val="17"/>
                <w:szCs w:val="17"/>
              </w:rPr>
              <w:t xml:space="preserve">Emotional openness and feedback directness</w:t>
            </w:r>
          </w:p>
        </w:tc>
        <w:tc>
          <w:tcPr>
            <w:tcW w:type="dxa" w:w="224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8C7A68"/>
                <w:sz w:val="18"/>
                <w:szCs w:val="18"/>
              </w:rPr>
              <w:t xml:space="preserve">Emotional openness and feedback directness</w:t>
            </w:r>
          </w:p>
        </w:tc>
        <w:tc>
          <w:tcPr>
            <w:tcW w:type="dxa" w:w="14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8"/>
                <w:szCs w:val="18"/>
              </w:rPr>
              <w:t xml:space="preserve">X: avg(expression + feedback)/2 &gt; 3.0 → Expressive</w:t>
            </w:r>
          </w:p>
        </w:tc>
        <w:tc>
          <w:tcPr>
            <w:tcW w:type="dxa" w:w="1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8"/>
                <w:szCs w:val="18"/>
              </w:rPr>
              <w:t xml:space="preserve">G: avg ≤ 3.0 → Guarded</w:t>
            </w:r>
          </w:p>
        </w:tc>
      </w:tr>
      <w:tr>
        <w:tc>
          <w:tcPr>
            <w:tcW w:type="dxa" w:w="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3</w:t>
            </w:r>
          </w:p>
        </w:tc>
        <w:tc>
          <w:tcPr>
            <w:tcW w:type="dxa" w:w="10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Courier New" w:cs="Courier New" w:eastAsia="Courier New" w:hAnsi="Courier New"/>
                <w:b/>
                <w:bCs/>
                <w:color w:val="E8673A"/>
                <w:sz w:val="20"/>
                <w:szCs w:val="20"/>
              </w:rPr>
              <w:t xml:space="preserve">F / S</w:t>
            </w:r>
          </w:p>
        </w:tc>
        <w:tc>
          <w:tcPr>
            <w:tcW w:type="dxa" w:w="22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0" w:before="0"/>
            </w:pPr>
            <w:r>
              <w:rPr>
                <w:rFonts w:ascii="Arial" w:cs="Arial" w:eastAsia="Arial" w:hAnsi="Arial"/>
                <w:b/>
                <w:bCs/>
                <w:color w:val="0E0B07"/>
                <w:sz w:val="19"/>
                <w:szCs w:val="19"/>
              </w:rPr>
              <w:t xml:space="preserve">Conflict Timing</w:t>
            </w:r>
          </w:p>
          <w:p>
            <w:pPr>
              <w:spacing w:after="0" w:before="0"/>
            </w:pPr>
            <w:r>
              <w:rPr>
                <w:rFonts w:ascii="Arial" w:cs="Arial" w:eastAsia="Arial" w:hAnsi="Arial"/>
                <w:color w:val="8C7A68"/>
                <w:sz w:val="17"/>
                <w:szCs w:val="17"/>
              </w:rPr>
              <w:t xml:space="preserve">Speed of engaging with conflict</w:t>
            </w:r>
          </w:p>
        </w:tc>
        <w:tc>
          <w:tcPr>
            <w:tcW w:type="dxa" w:w="224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8C7A68"/>
                <w:sz w:val="18"/>
                <w:szCs w:val="18"/>
              </w:rPr>
              <w:t xml:space="preserve">Speed of engaging with conflict</w:t>
            </w:r>
          </w:p>
        </w:tc>
        <w:tc>
          <w:tcPr>
            <w:tcW w:type="dxa" w:w="14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8"/>
                <w:szCs w:val="18"/>
              </w:rPr>
              <w:t xml:space="preserve">F: conflict avg &lt; 3.0 → Fast-engage</w:t>
            </w:r>
          </w:p>
        </w:tc>
        <w:tc>
          <w:tcPr>
            <w:tcW w:type="dxa" w:w="1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8"/>
                <w:szCs w:val="18"/>
              </w:rPr>
              <w:t xml:space="preserve">S: avg ≥ 3.0 → Space-first</w:t>
            </w:r>
          </w:p>
        </w:tc>
      </w:tr>
      <w:tr>
        <w:tc>
          <w:tcPr>
            <w:tcW w:type="dxa" w:w="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4</w:t>
            </w:r>
          </w:p>
        </w:tc>
        <w:tc>
          <w:tcPr>
            <w:tcW w:type="dxa" w:w="10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Courier New" w:cs="Courier New" w:eastAsia="Courier New" w:hAnsi="Courier New"/>
                <w:b/>
                <w:bCs/>
                <w:color w:val="E8673A"/>
                <w:sz w:val="20"/>
                <w:szCs w:val="20"/>
              </w:rPr>
              <w:t xml:space="preserve">C / A</w:t>
            </w:r>
          </w:p>
        </w:tc>
        <w:tc>
          <w:tcPr>
            <w:tcW w:type="dxa" w:w="22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0" w:before="0"/>
            </w:pPr>
            <w:r>
              <w:rPr>
                <w:rFonts w:ascii="Arial" w:cs="Arial" w:eastAsia="Arial" w:hAnsi="Arial"/>
                <w:b/>
                <w:bCs/>
                <w:color w:val="0E0B07"/>
                <w:sz w:val="19"/>
                <w:szCs w:val="19"/>
              </w:rPr>
              <w:t xml:space="preserve">Closeness</w:t>
            </w:r>
          </w:p>
          <w:p>
            <w:pPr>
              <w:spacing w:after="0" w:before="0"/>
            </w:pPr>
            <w:r>
              <w:rPr>
                <w:rFonts w:ascii="Arial" w:cs="Arial" w:eastAsia="Arial" w:hAnsi="Arial"/>
                <w:color w:val="8C7A68"/>
                <w:sz w:val="17"/>
                <w:szCs w:val="17"/>
              </w:rPr>
              <w:t xml:space="preserve">Orientation toward closeness vs. independence</w:t>
            </w:r>
          </w:p>
        </w:tc>
        <w:tc>
          <w:tcPr>
            <w:tcW w:type="dxa" w:w="224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8C7A68"/>
                <w:sz w:val="18"/>
                <w:szCs w:val="18"/>
              </w:rPr>
              <w:t xml:space="preserve">Orientation toward closeness vs. independence</w:t>
            </w:r>
          </w:p>
        </w:tc>
        <w:tc>
          <w:tcPr>
            <w:tcW w:type="dxa" w:w="14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8"/>
                <w:szCs w:val="18"/>
              </w:rPr>
              <w:t xml:space="preserve">C: closeness avg &gt; 3.0 → Close-seeking</w:t>
            </w:r>
          </w:p>
        </w:tc>
        <w:tc>
          <w:tcPr>
            <w:tcW w:type="dxa" w:w="1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8"/>
                <w:szCs w:val="18"/>
              </w:rPr>
              <w:t xml:space="preserve">A: avg ≤ 3.0 → Autonomous</w:t>
            </w:r>
          </w:p>
        </w:tc>
      </w:tr>
      <w:tr>
        <w:tc>
          <w:tcPr>
            <w:tcW w:type="dxa" w:w="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5</w:t>
            </w:r>
          </w:p>
        </w:tc>
        <w:tc>
          <w:tcPr>
            <w:tcW w:type="dxa" w:w="10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Courier New" w:cs="Courier New" w:eastAsia="Courier New" w:hAnsi="Courier New"/>
                <w:b/>
                <w:bCs/>
                <w:color w:val="E8673A"/>
                <w:sz w:val="20"/>
                <w:szCs w:val="20"/>
              </w:rPr>
              <w:t xml:space="preserve">D / H</w:t>
            </w:r>
          </w:p>
        </w:tc>
        <w:tc>
          <w:tcPr>
            <w:tcW w:type="dxa" w:w="22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pPr>
              <w:spacing w:after="0" w:before="0"/>
            </w:pPr>
            <w:r>
              <w:rPr>
                <w:rFonts w:ascii="Arial" w:cs="Arial" w:eastAsia="Arial" w:hAnsi="Arial"/>
                <w:b/>
                <w:bCs/>
                <w:color w:val="0E0B07"/>
                <w:sz w:val="19"/>
                <w:szCs w:val="19"/>
              </w:rPr>
              <w:t xml:space="preserve">Needs Directness</w:t>
            </w:r>
          </w:p>
          <w:p>
            <w:pPr>
              <w:spacing w:after="0" w:before="0"/>
            </w:pPr>
            <w:r>
              <w:rPr>
                <w:rFonts w:ascii="Arial" w:cs="Arial" w:eastAsia="Arial" w:hAnsi="Arial"/>
                <w:color w:val="8C7A68"/>
                <w:sz w:val="17"/>
                <w:szCs w:val="17"/>
              </w:rPr>
              <w:t xml:space="preserve">How explicitly needs are communicated</w:t>
            </w:r>
          </w:p>
        </w:tc>
        <w:tc>
          <w:tcPr>
            <w:tcW w:type="dxa" w:w="224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8C7A68"/>
                <w:sz w:val="18"/>
                <w:szCs w:val="18"/>
              </w:rPr>
              <w:t xml:space="preserve">How explicitly needs are communicated</w:t>
            </w:r>
          </w:p>
        </w:tc>
        <w:tc>
          <w:tcPr>
            <w:tcW w:type="dxa" w:w="148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8"/>
                <w:szCs w:val="18"/>
              </w:rPr>
              <w:t xml:space="preserve">D: needs avg &gt; 3.0 → Direct</w:t>
            </w:r>
          </w:p>
        </w:tc>
        <w:tc>
          <w:tcPr>
            <w:tcW w:type="dxa" w:w="1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8"/>
                <w:szCs w:val="18"/>
              </w:rPr>
              <w:t xml:space="preserve">H: avg ≤ 3.0 → Hint/indirect</w:t>
            </w:r>
          </w:p>
        </w:tc>
      </w:tr>
      <w:tr>
        <w:tc>
          <w:tcPr>
            <w:tcW w:type="dxa" w:w="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6</w:t>
            </w:r>
          </w:p>
        </w:tc>
        <w:tc>
          <w:tcPr>
            <w:tcW w:type="dxa" w:w="10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Courier New" w:cs="Courier New" w:eastAsia="Courier New" w:hAnsi="Courier New"/>
                <w:b/>
                <w:bCs/>
                <w:color w:val="E8673A"/>
                <w:sz w:val="20"/>
                <w:szCs w:val="20"/>
              </w:rPr>
              <w:t xml:space="preserve">Q / T</w:t>
            </w:r>
          </w:p>
        </w:tc>
        <w:tc>
          <w:tcPr>
            <w:tcW w:type="dxa" w:w="22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pPr>
              <w:spacing w:after="0" w:before="0"/>
            </w:pPr>
            <w:r>
              <w:rPr>
                <w:rFonts w:ascii="Arial" w:cs="Arial" w:eastAsia="Arial" w:hAnsi="Arial"/>
                <w:b/>
                <w:bCs/>
                <w:color w:val="0E0B07"/>
                <w:sz w:val="19"/>
                <w:szCs w:val="19"/>
              </w:rPr>
              <w:t xml:space="preserve">Repair Style</w:t>
            </w:r>
          </w:p>
          <w:p>
            <w:pPr>
              <w:spacing w:after="0" w:before="0"/>
            </w:pPr>
            <w:r>
              <w:rPr>
                <w:rFonts w:ascii="Arial" w:cs="Arial" w:eastAsia="Arial" w:hAnsi="Arial"/>
                <w:color w:val="8C7A68"/>
                <w:sz w:val="17"/>
                <w:szCs w:val="17"/>
              </w:rPr>
              <w:t xml:space="preserve">How repair happens after conflict</w:t>
            </w:r>
          </w:p>
        </w:tc>
        <w:tc>
          <w:tcPr>
            <w:tcW w:type="dxa" w:w="224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8C7A68"/>
                <w:sz w:val="18"/>
                <w:szCs w:val="18"/>
              </w:rPr>
              <w:t xml:space="preserve">How repair happens after conflict</w:t>
            </w:r>
          </w:p>
        </w:tc>
        <w:tc>
          <w:tcPr>
            <w:tcW w:type="dxa" w:w="148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8"/>
                <w:szCs w:val="18"/>
              </w:rPr>
              <w:t xml:space="preserve">Q: repair avg &lt; 3.0 → Quick-gesture</w:t>
            </w:r>
          </w:p>
        </w:tc>
        <w:tc>
          <w:tcPr>
            <w:tcW w:type="dxa" w:w="1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8"/>
                <w:szCs w:val="18"/>
              </w:rPr>
              <w:t xml:space="preserve">T: avg ≥ 3.0 → Talk-through</w:t>
            </w:r>
          </w:p>
        </w:tc>
      </w:tr>
    </w:tbl>
    <w:p>
      <w:pPr>
        <w:spacing w:after="160" w:before="0"/>
      </w:pPr>
    </w:p>
    <w:p>
      <w:pPr>
        <w:spacing w:after="100" w:before="60"/>
      </w:pPr>
      <w:r>
        <w:rPr>
          <w:rFonts w:ascii="Arial" w:cs="Arial" w:eastAsia="Arial" w:hAnsi="Arial"/>
          <w:b/>
          <w:bCs/>
          <w:color w:val="0E0B07"/>
          <w:sz w:val="22"/>
          <w:szCs w:val="22"/>
        </w:rPr>
        <w:t xml:space="preserve">Example code:  EXFCDQ</w:t>
      </w:r>
    </w:p>
    <w:p>
      <w:pPr>
        <w:pStyle w:val="ListParagraph"/>
        <w:numPr>
          <w:ilvl w:val="0"/>
          <w:numId w:val="2"/>
        </w:numPr>
        <w:spacing w:after="40" w:before="40"/>
      </w:pPr>
      <w:r>
        <w:rPr>
          <w:rFonts w:ascii="Arial" w:cs="Arial" w:eastAsia="Arial" w:hAnsi="Arial"/>
          <w:color w:val="0E0B07"/>
          <w:sz w:val="22"/>
          <w:szCs w:val="22"/>
        </w:rPr>
        <w:t xml:space="preserve">E — Outward energy orientation (energy avg &gt; 3.0)</w:t>
      </w:r>
    </w:p>
    <w:p>
      <w:pPr>
        <w:pStyle w:val="ListParagraph"/>
        <w:numPr>
          <w:ilvl w:val="0"/>
          <w:numId w:val="2"/>
        </w:numPr>
        <w:spacing w:after="40" w:before="40"/>
      </w:pPr>
      <w:r>
        <w:rPr>
          <w:rFonts w:ascii="Arial" w:cs="Arial" w:eastAsia="Arial" w:hAnsi="Arial"/>
          <w:color w:val="0E0B07"/>
          <w:sz w:val="22"/>
          <w:szCs w:val="22"/>
        </w:rPr>
        <w:t xml:space="preserve">X — Expressive (average of expression and feedback dimensions &gt; 3.0)</w:t>
      </w:r>
    </w:p>
    <w:p>
      <w:pPr>
        <w:pStyle w:val="ListParagraph"/>
        <w:numPr>
          <w:ilvl w:val="0"/>
          <w:numId w:val="2"/>
        </w:numPr>
        <w:spacing w:after="40" w:before="40"/>
      </w:pPr>
      <w:r>
        <w:rPr>
          <w:rFonts w:ascii="Arial" w:cs="Arial" w:eastAsia="Arial" w:hAnsi="Arial"/>
          <w:color w:val="0E0B07"/>
          <w:sz w:val="22"/>
          <w:szCs w:val="22"/>
        </w:rPr>
        <w:t xml:space="preserve">F — Fast-engage conflict timing (conflict avg &lt; 3.0)</w:t>
      </w:r>
    </w:p>
    <w:p>
      <w:pPr>
        <w:pStyle w:val="ListParagraph"/>
        <w:numPr>
          <w:ilvl w:val="0"/>
          <w:numId w:val="2"/>
        </w:numPr>
        <w:spacing w:after="40" w:before="40"/>
      </w:pPr>
      <w:r>
        <w:rPr>
          <w:rFonts w:ascii="Arial" w:cs="Arial" w:eastAsia="Arial" w:hAnsi="Arial"/>
          <w:color w:val="0E0B07"/>
          <w:sz w:val="22"/>
          <w:szCs w:val="22"/>
        </w:rPr>
        <w:t xml:space="preserve">C — Close-seeking (closeness avg &gt; 3.0)</w:t>
      </w:r>
    </w:p>
    <w:p>
      <w:pPr>
        <w:pStyle w:val="ListParagraph"/>
        <w:numPr>
          <w:ilvl w:val="0"/>
          <w:numId w:val="2"/>
        </w:numPr>
        <w:spacing w:after="40" w:before="40"/>
      </w:pPr>
      <w:r>
        <w:rPr>
          <w:rFonts w:ascii="Arial" w:cs="Arial" w:eastAsia="Arial" w:hAnsi="Arial"/>
          <w:color w:val="0E0B07"/>
          <w:sz w:val="22"/>
          <w:szCs w:val="22"/>
        </w:rPr>
        <w:t xml:space="preserve">D — Direct needs communication (needs avg &gt; 3.0)</w:t>
      </w:r>
    </w:p>
    <w:p>
      <w:pPr>
        <w:pStyle w:val="ListParagraph"/>
        <w:numPr>
          <w:ilvl w:val="0"/>
          <w:numId w:val="2"/>
        </w:numPr>
        <w:spacing w:after="40" w:before="40"/>
      </w:pPr>
      <w:r>
        <w:rPr>
          <w:rFonts w:ascii="Arial" w:cs="Arial" w:eastAsia="Arial" w:hAnsi="Arial"/>
          <w:color w:val="0E0B07"/>
          <w:sz w:val="22"/>
          <w:szCs w:val="22"/>
        </w:rPr>
        <w:t xml:space="preserve">Q — Quick-gesture repair style (repair avg &lt; 3.0)</w:t>
      </w:r>
    </w:p>
    <w:p>
      <w:pPr>
        <w:spacing w:after="80" w:before="0"/>
      </w:pPr>
    </w:p>
    <w:p>
      <w:pPr>
        <w:spacing w:after="100" w:before="60"/>
      </w:pPr>
      <w:r>
        <w:rPr>
          <w:rFonts w:ascii="Arial" w:cs="Arial" w:eastAsia="Arial" w:hAnsi="Arial"/>
          <w:color w:val="0E0B07"/>
          <w:sz w:val="22"/>
          <w:szCs w:val="22"/>
        </w:rPr>
        <w:t xml:space="preserve">The code is not the result — it is an input to the type derivation system. Users see their couple type and dimension-by-dimension breakdowns. The style code is used internally to compute the type and power the analytics.</w:t>
      </w:r>
    </w:p>
    <w:p>
      <w:pPr>
        <w:spacing w:after="160" w:before="0"/>
      </w:pPr>
    </w:p>
    <w:p>
      <w:pPr>
        <w:pStyle w:val="Heading1"/>
        <w:spacing w:after="180" w:before="440"/>
      </w:pPr>
      <w:r>
        <w:rPr>
          <w:rFonts w:ascii="Arial" w:cs="Arial" w:eastAsia="Arial" w:hAnsi="Arial"/>
          <w:b/>
          <w:bCs/>
          <w:color w:val="0E0B07"/>
          <w:sz w:val="36"/>
          <w:szCs w:val="36"/>
        </w:rPr>
        <w:t xml:space="preserve">Part 4 — How Couple Types Are Derived</w:t>
      </w:r>
    </w:p>
    <w:p>
      <w:pPr>
        <w:spacing w:after="100" w:before="60"/>
      </w:pPr>
      <w:r>
        <w:rPr>
          <w:rFonts w:ascii="Arial" w:cs="Arial" w:eastAsia="Arial" w:hAnsi="Arial"/>
          <w:color w:val="0E0B07"/>
          <w:sz w:val="22"/>
          <w:szCs w:val="22"/>
        </w:rPr>
        <w:t xml:space="preserve">Attune uses a scoring system, not a lookup table, to assign couple types. Each of the 25 types has a characteristic signature across all 10 communication dimensions. The system computes a score for every type simultaneously and selects the one whose signature best matches the couple's combined profile.</w:t>
      </w:r>
    </w:p>
    <w:p>
      <w:pPr>
        <w:spacing w:after="80" w:before="0"/>
      </w:pPr>
    </w:p>
    <w:p>
      <w:pPr>
        <w:pStyle w:val="Heading2"/>
        <w:spacing w:after="120" w:before="300"/>
      </w:pPr>
      <w:r>
        <w:rPr>
          <w:rFonts w:ascii="Arial" w:cs="Arial" w:eastAsia="Arial" w:hAnsi="Arial"/>
          <w:b/>
          <w:bCs/>
          <w:color w:val="0E0B07"/>
          <w:sz w:val="26"/>
          <w:szCs w:val="26"/>
        </w:rPr>
        <w:t xml:space="preserve">How the scoring works</w:t>
      </w:r>
    </w:p>
    <w:p>
      <w:pPr>
        <w:spacing w:after="100" w:before="60"/>
      </w:pPr>
      <w:r>
        <w:rPr>
          <w:rFonts w:ascii="Arial" w:cs="Arial" w:eastAsia="Arial" w:hAnsi="Arial"/>
          <w:color w:val="0E0B07"/>
          <w:sz w:val="22"/>
          <w:szCs w:val="22"/>
        </w:rPr>
        <w:t xml:space="preserve">Each type's score accumulates from signals across multiple dimensions. The signal types are:</w:t>
      </w:r>
    </w:p>
    <w:p>
      <w:pPr>
        <w:pStyle w:val="ListParagraph"/>
        <w:numPr>
          <w:ilvl w:val="0"/>
          <w:numId w:val="2"/>
        </w:numPr>
        <w:spacing w:after="40" w:before="40"/>
      </w:pPr>
      <w:r>
        <w:rPr>
          <w:rFonts w:ascii="Arial" w:cs="Arial" w:eastAsia="Arial" w:hAnsi="Arial"/>
          <w:color w:val="0E0B07"/>
          <w:sz w:val="22"/>
          <w:szCs w:val="22"/>
        </w:rPr>
        <w:t xml:space="preserve">Both high (bhi): both partners score above 3.5 on a dimension — confirms a shared orientation at the high pole</w:t>
      </w:r>
    </w:p>
    <w:p>
      <w:pPr>
        <w:pStyle w:val="ListParagraph"/>
        <w:numPr>
          <w:ilvl w:val="0"/>
          <w:numId w:val="2"/>
        </w:numPr>
        <w:spacing w:after="40" w:before="40"/>
      </w:pPr>
      <w:r>
        <w:rPr>
          <w:rFonts w:ascii="Arial" w:cs="Arial" w:eastAsia="Arial" w:hAnsi="Arial"/>
          <w:color w:val="0E0B07"/>
          <w:sz w:val="22"/>
          <w:szCs w:val="22"/>
        </w:rPr>
        <w:t xml:space="preserve">Both low (blo): both partners score below 2.5 — confirms a shared orientation at the low pole</w:t>
      </w:r>
    </w:p>
    <w:p>
      <w:pPr>
        <w:pStyle w:val="ListParagraph"/>
        <w:numPr>
          <w:ilvl w:val="0"/>
          <w:numId w:val="2"/>
        </w:numPr>
        <w:spacing w:after="40" w:before="40"/>
      </w:pPr>
      <w:r>
        <w:rPr>
          <w:rFonts w:ascii="Arial" w:cs="Arial" w:eastAsia="Arial" w:hAnsi="Arial"/>
          <w:color w:val="0E0B07"/>
          <w:sz w:val="22"/>
          <w:szCs w:val="22"/>
        </w:rPr>
        <w:t xml:space="preserve">Large gap (hg ≥ 2.0 / bg ≥ 1.5): a significant difference between the two partners on a dimension</w:t>
      </w:r>
    </w:p>
    <w:p>
      <w:pPr>
        <w:pStyle w:val="ListParagraph"/>
        <w:numPr>
          <w:ilvl w:val="0"/>
          <w:numId w:val="2"/>
        </w:numPr>
        <w:spacing w:after="40" w:before="40"/>
      </w:pPr>
      <w:r>
        <w:rPr>
          <w:rFonts w:ascii="Arial" w:cs="Arial" w:eastAsia="Arial" w:hAnsi="Arial"/>
          <w:color w:val="0E0B07"/>
          <w:sz w:val="22"/>
          <w:szCs w:val="22"/>
        </w:rPr>
        <w:t xml:space="preserve">Close gap (cg &lt; 1.2): alignment on a secondary dimension, used as a supporting signal</w:t>
      </w:r>
    </w:p>
    <w:p>
      <w:pPr>
        <w:spacing w:after="80" w:before="0"/>
      </w:pPr>
    </w:p>
    <w:p>
      <w:pPr>
        <w:spacing w:after="100" w:before="60"/>
      </w:pPr>
      <w:r>
        <w:rPr>
          <w:rFonts w:ascii="Arial" w:cs="Arial" w:eastAsia="Arial" w:hAnsi="Arial"/>
          <w:color w:val="0E0B07"/>
          <w:sz w:val="22"/>
          <w:szCs w:val="22"/>
        </w:rPr>
        <w:t xml:space="preserve">No type can win on a secondary signal alone. Every type with a score above the minimum threshold requires at least one strong primary signal (both high, both low, or a large gap) as its driver.</w:t>
      </w:r>
    </w:p>
    <w:p>
      <w:pPr>
        <w:spacing w:after="80" w:before="0"/>
      </w:pPr>
    </w:p>
    <w:p>
      <w:pPr>
        <w:pStyle w:val="Heading2"/>
        <w:spacing w:after="120" w:before="300"/>
      </w:pPr>
      <w:r>
        <w:rPr>
          <w:rFonts w:ascii="Arial" w:cs="Arial" w:eastAsia="Arial" w:hAnsi="Arial"/>
          <w:b/>
          <w:bCs/>
          <w:color w:val="0E0B07"/>
          <w:sz w:val="26"/>
          <w:szCs w:val="26"/>
        </w:rPr>
        <w:t xml:space="preserve">Fallback types</w:t>
      </w:r>
    </w:p>
    <w:p>
      <w:pPr>
        <w:spacing w:after="100" w:before="60"/>
      </w:pPr>
      <w:r>
        <w:rPr>
          <w:rFonts w:ascii="Arial" w:cs="Arial" w:eastAsia="Arial" w:hAnsi="Arial"/>
          <w:color w:val="0E0B07"/>
          <w:sz w:val="22"/>
          <w:szCs w:val="22"/>
        </w:rPr>
        <w:t xml:space="preserve">Three types — The Steady Pair, The Complement, and The Full Spectrum — activate when no specific dimension pattern is strong enough to drive a primary type. They represent couples whose profiles are either broadly aligned (Steady Pair), broadly different (Full Spectrum), or somewhere in between (Complement) without any single dimension dominating.</w:t>
      </w:r>
    </w:p>
    <w:p>
      <w:pPr>
        <w:spacing w:after="80" w:before="0"/>
      </w:pPr>
    </w:p>
    <w:p>
      <w:pPr>
        <w:pStyle w:val="Heading2"/>
        <w:spacing w:after="120" w:before="300"/>
      </w:pPr>
      <w:r>
        <w:rPr>
          <w:rFonts w:ascii="Arial" w:cs="Arial" w:eastAsia="Arial" w:hAnsi="Arial"/>
          <w:b/>
          <w:bCs/>
          <w:color w:val="0E0B07"/>
          <w:sz w:val="26"/>
          <w:szCs w:val="26"/>
        </w:rPr>
        <w:t xml:space="preserve">Exercise data as confirmatory signals</w:t>
      </w:r>
    </w:p>
    <w:p>
      <w:pPr>
        <w:spacing w:after="100" w:before="60"/>
      </w:pPr>
      <w:r>
        <w:rPr>
          <w:rFonts w:ascii="Arial" w:cs="Arial" w:eastAsia="Arial" w:hAnsi="Arial"/>
          <w:color w:val="0E0B07"/>
          <w:sz w:val="22"/>
          <w:szCs w:val="22"/>
        </w:rPr>
        <w:t xml:space="preserve">When couples complete Exercise 3 (Couple Typing), those answers add confirmatory boosts to relevant types. For example, both partners choosing 'we both like routine and knowing the plan' strongly activates The Planners type. The Exercise 2 expectations alignment percentage activates The Aligned Foundation or The Honest Work when alignment is very high or very low.</w:t>
      </w:r>
    </w:p>
    <w:p>
      <w:pPr>
        <w:spacing w:after="80" w:before="0"/>
      </w:pPr>
    </w:p>
    <w:p>
      <w:pPr>
        <w:pStyle w:val="Heading2"/>
        <w:spacing w:after="120" w:before="300"/>
      </w:pPr>
      <w:r>
        <w:rPr>
          <w:rFonts w:ascii="Arial" w:cs="Arial" w:eastAsia="Arial" w:hAnsi="Arial"/>
          <w:b/>
          <w:bCs/>
          <w:color w:val="0E0B07"/>
          <w:sz w:val="26"/>
          <w:szCs w:val="26"/>
        </w:rPr>
        <w:t xml:space="preserve">Distribution across all 25 types</w:t>
      </w:r>
    </w:p>
    <w:p>
      <w:pPr>
        <w:spacing w:after="100" w:before="60"/>
      </w:pPr>
      <w:r>
        <w:rPr>
          <w:rFonts w:ascii="Arial" w:cs="Arial" w:eastAsia="Arial" w:hAnsi="Arial"/>
          <w:color w:val="0E0B07"/>
          <w:sz w:val="22"/>
          <w:szCs w:val="22"/>
        </w:rPr>
        <w:t xml:space="preserve">The scoring system is calibrated to produce a meaningful spread across all 25 types. Simulation of 10,000 randomly generated couple profiles produces a top type at roughly 14%, with most types in the 3–10% range and a long tail of genuinely rare combinations. This means a couple's type is meaningfully specific to them — not a category that applies to half the population.</w:t>
      </w:r>
    </w:p>
    <w:p>
      <w:pPr>
        <w:spacing w:after="160" w:before="0"/>
      </w:pPr>
    </w:p>
    <w:p>
      <w:pPr>
        <w:pStyle w:val="Heading1"/>
        <w:spacing w:after="180" w:before="440"/>
      </w:pPr>
      <w:r>
        <w:rPr>
          <w:rFonts w:ascii="Arial" w:cs="Arial" w:eastAsia="Arial" w:hAnsi="Arial"/>
          <w:b/>
          <w:bCs/>
          <w:color w:val="0E0B07"/>
          <w:sz w:val="36"/>
          <w:szCs w:val="36"/>
        </w:rPr>
        <w:t xml:space="preserve">Part 5 — All 25 Couple Types</w:t>
      </w:r>
    </w:p>
    <w:p>
      <w:pPr>
        <w:spacing w:after="100" w:before="60"/>
      </w:pPr>
      <w:r>
        <w:rPr>
          <w:rFonts w:ascii="Arial" w:cs="Arial" w:eastAsia="Arial" w:hAnsi="Arial"/>
          <w:color w:val="0E0B07"/>
          <w:sz w:val="22"/>
          <w:szCs w:val="22"/>
        </w:rPr>
        <w:t xml:space="preserve">The table below lists all 25 designations, the primary signal that drives each one, and a brief description of what the type means for the couple.</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5760"/>
      </w:tblGrid>
      <w:tr>
        <w:trPr>
          <w:tblHeader/>
        </w:trPr>
        <w:tc>
          <w:tcPr>
            <w:tcW w:type="dxa" w:w="200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Couple type</w:t>
            </w:r>
          </w:p>
        </w:tc>
        <w:tc>
          <w:tcPr>
            <w:tcW w:type="dxa" w:w="160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Primary signal</w:t>
            </w:r>
          </w:p>
        </w:tc>
        <w:tc>
          <w:tcPr>
            <w:tcW w:type="dxa" w:w="5760"/>
            <w:tcBorders>
              <w:top w:val="single" w:color="2A2E3A" w:sz="4"/>
              <w:left w:val="single" w:color="2A2E3A" w:sz="4"/>
              <w:bottom w:val="single" w:color="2A2E3A" w:sz="4"/>
              <w:right w:val="single" w:color="2A2E3A" w:sz="4"/>
            </w:tcBorders>
            <w:shd w:fill="0E0B07" w:val="clear"/>
            <w:tcMar>
              <w:top w:type="dxa" w:w="80"/>
              <w:left w:type="dxa" w:w="110"/>
              <w:bottom w:type="dxa" w:w="80"/>
              <w:right w:type="dxa" w:w="110"/>
            </w:tcMar>
          </w:tcPr>
          <w:p>
            <w:r>
              <w:rPr>
                <w:rFonts w:ascii="Arial" w:cs="Arial" w:eastAsia="Arial" w:hAnsi="Arial"/>
                <w:b/>
                <w:bCs/>
                <w:color w:val="FFFFFF"/>
                <w:sz w:val="19"/>
                <w:szCs w:val="19"/>
              </w:rPr>
              <w:t xml:space="preserve">What it means</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Mirror</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All dimensions closely aligned</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Rare and genuine: two people whose communication patterns are similar across every axis. The risk is assuming alignment without checking.</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Steady Pair</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Moderate alignment across all dims, no dominant pattern</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Well-matched where it counts, with differences that add texture rather than friction.</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Complement</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Mixed alignment, no single dominant pattern</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Different orientations that tend to balance each other. The differences are felt as complementarity more than conflict.</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Full Room</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Both high energy orientation</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Two outward-oriented people who build a full, socially rich shared life. The work is carving out the quieter version of each other.</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Quiet Depth</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Both low energy + both expressive</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Inward but not closed. Two people who recharge in quiet and still build genuine intimacy through shared expression.</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Spark &amp; The Ground</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Large energy gap</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One brings social energy; the other anchors. Common and often productive — the pattern works when it's named.</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Open Books</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Both high expression + feedback</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High mutual expressiveness. The relationship has real emotional texture. The risk is amplification during hard moments.</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Reserved Pair</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Both low expression + feedback</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Private, deep, and deliberate. Built slowly and held closely. Requires scheduled openness to stay current.</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Open &amp; The Guarded</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Large expression gap</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One shares readily; the other holds back. The most common source of intimacy asymmetry in long-term relationships.</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Fast Repairers</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Both low conflict timing + repair</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Neither sits with conflict long. The watch-out is closing the loop before things are fully through.</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Space-Takers</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Both high conflict timing + repair</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Both need time before repair is possible. The risk is waiting each other out indefinitely.</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Bridge</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Large conflict timing gap</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One engages conflict quickly; the other needs space. The most commonly misread dynamic in couples — solvable once it's named.</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Close Pair</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Both high closeness orientation</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Both reach toward each other under stress. Real warmth — the work is maintaining individual lives within the shared one.</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Two Solitudes</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Both low closeness orientation</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Two independent people who have chosen each other. The work is deliberate closeness rather than just coexistence.</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Reach &amp; The Retreat</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Large closeness gap</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One reaches for connection under stress; the other pulls back. Complementary stress responses that require naming.</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Analytical Pair</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Both high needs directness</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Both direct, both logical. Decisions get made. The risk is solving past emotions that needed to be felt first.</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Attuned Pair</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Both low needs directness</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Both feeling-led and empathic. High connection — the risk is difficulty holding a position when the other is visibly upset.</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Head &amp; The Heart</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Large needs directness gap</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One leads with analysis; the other with feeling. Together they cover more ground than either would alone.</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Translator</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Both guarded + indirect + bid gap</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Two private people who have had to build their own language from scratch. Durable when the work is mutual.</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Full Spectrum</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Large gaps across six or more dimensions</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Different across most axes. The relationship has been built deliberately. The translation work is real and ongoing.</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Planners</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Both choose structure (couple exercise)</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Both wired for routine and plan. Logistics are handled. The risk is over-structuring the emotional life of the relationship.</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Open Road</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Both choose flexibility (couple exercise)</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Neither needs a plan to feel settled. The risk is drifting rather than choosing, and deferring decisions that need to be made.</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Planner &amp; Free Spirit</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Structure mismatch (couple exercise)</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One thrives with a plan; one thrives without. Ongoing negotiation — the goal is a floor, not a ceiling.</w:t>
            </w:r>
          </w:p>
        </w:tc>
      </w:tr>
      <w:tr>
        <w:tc>
          <w:tcPr>
            <w:tcW w:type="dxa" w:w="20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b/>
                <w:bCs/>
                <w:color w:val="0E0B07"/>
                <w:sz w:val="19"/>
                <w:szCs w:val="19"/>
              </w:rPr>
              <w:t xml:space="preserve">The Aligned Foundation</w:t>
            </w:r>
          </w:p>
        </w:tc>
        <w:tc>
          <w:tcPr>
            <w:tcW w:type="dxa" w:w="160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i/>
                <w:iCs/>
                <w:color w:val="8C7A68"/>
                <w:sz w:val="18"/>
                <w:szCs w:val="18"/>
              </w:rPr>
              <w:t xml:space="preserve">High expectations alignment (Exercise 2)</w:t>
            </w:r>
          </w:p>
        </w:tc>
        <w:tc>
          <w:tcPr>
            <w:tcW w:type="dxa" w:w="5760"/>
            <w:tcBorders>
              <w:top w:val="single" w:color="E8DDD0" w:sz="4"/>
              <w:left w:val="single" w:color="E8DDD0" w:sz="4"/>
              <w:bottom w:val="single" w:color="E8DDD0" w:sz="4"/>
              <w:right w:val="single" w:color="E8DDD0" w:sz="4"/>
            </w:tcBorders>
            <w:shd w:fill="FBF8F3" w:val="clear"/>
            <w:tcMar>
              <w:top w:type="dxa" w:w="80"/>
              <w:left w:type="dxa" w:w="110"/>
              <w:bottom w:type="dxa" w:w="80"/>
              <w:right w:type="dxa" w:w="110"/>
            </w:tcMar>
          </w:tcPr>
          <w:p>
            <w:r>
              <w:rPr>
                <w:rFonts w:ascii="Arial" w:cs="Arial" w:eastAsia="Arial" w:hAnsi="Arial"/>
                <w:color w:val="0E0B07"/>
                <w:sz w:val="19"/>
                <w:szCs w:val="19"/>
              </w:rPr>
              <w:t xml:space="preserve">Across roles, finances, and shared life, you're on the same page. The risk is letting alignment become assumption.</w:t>
            </w:r>
          </w:p>
        </w:tc>
      </w:tr>
      <w:tr>
        <w:tc>
          <w:tcPr>
            <w:tcW w:type="dxa" w:w="20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b/>
                <w:bCs/>
                <w:color w:val="0E0B07"/>
                <w:sz w:val="19"/>
                <w:szCs w:val="19"/>
              </w:rPr>
              <w:t xml:space="preserve">The Honest Work</w:t>
            </w:r>
          </w:p>
        </w:tc>
        <w:tc>
          <w:tcPr>
            <w:tcW w:type="dxa" w:w="160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i/>
                <w:iCs/>
                <w:color w:val="8C7A68"/>
                <w:sz w:val="18"/>
                <w:szCs w:val="18"/>
              </w:rPr>
              <w:t xml:space="preserve">Low expectations alignment (Exercise 2)</w:t>
            </w:r>
          </w:p>
        </w:tc>
        <w:tc>
          <w:tcPr>
            <w:tcW w:type="dxa" w:w="5760"/>
            <w:tcBorders>
              <w:top w:val="single" w:color="E8DDD0" w:sz="4"/>
              <w:left w:val="single" w:color="E8DDD0" w:sz="4"/>
              <w:bottom w:val="single" w:color="E8DDD0" w:sz="4"/>
              <w:right w:val="single" w:color="E8DDD0" w:sz="4"/>
            </w:tcBorders>
            <w:shd w:fill="FFFFFF" w:val="clear"/>
            <w:tcMar>
              <w:top w:type="dxa" w:w="80"/>
              <w:left w:type="dxa" w:w="110"/>
              <w:bottom w:type="dxa" w:w="80"/>
              <w:right w:type="dxa" w:w="110"/>
            </w:tcMar>
          </w:tcPr>
          <w:p>
            <w:r>
              <w:rPr>
                <w:rFonts w:ascii="Arial" w:cs="Arial" w:eastAsia="Arial" w:hAnsi="Arial"/>
                <w:color w:val="0E0B07"/>
                <w:sz w:val="19"/>
                <w:szCs w:val="19"/>
              </w:rPr>
              <w:t xml:space="preserve">More ground to cover together than most couples. Not incompatibility — it's honesty. And honesty is more useful than comfortable illusions.</w:t>
            </w:r>
          </w:p>
        </w:tc>
      </w:tr>
    </w:tbl>
    <w:p>
      <w:pPr>
        <w:spacing w:after="160" w:before="0"/>
      </w:pPr>
    </w:p>
    <w:p>
      <w:pPr>
        <w:pStyle w:val="Heading1"/>
        <w:spacing w:after="180" w:before="440"/>
      </w:pPr>
      <w:r>
        <w:rPr>
          <w:rFonts w:ascii="Arial" w:cs="Arial" w:eastAsia="Arial" w:hAnsi="Arial"/>
          <w:b/>
          <w:bCs/>
          <w:color w:val="0E0B07"/>
          <w:sz w:val="36"/>
          <w:szCs w:val="36"/>
        </w:rPr>
        <w:t xml:space="preserve">Part 6 — Honest Limitations</w:t>
      </w:r>
    </w:p>
    <w:p>
      <w:pPr>
        <w:spacing w:after="100" w:before="60"/>
      </w:pPr>
      <w:r>
        <w:rPr>
          <w:rFonts w:ascii="Arial" w:cs="Arial" w:eastAsia="Arial" w:hAnsi="Arial"/>
          <w:color w:val="0E0B07"/>
          <w:sz w:val="22"/>
          <w:szCs w:val="22"/>
        </w:rPr>
        <w:t xml:space="preserve">Attune is a structured understanding tool, not a clinical instrument. These limitations are important to understand.</w:t>
      </w:r>
    </w:p>
    <w:p>
      <w:pPr>
        <w:spacing w:after="80" w:before="0"/>
      </w:pPr>
    </w:p>
    <w:p>
      <w:pPr>
        <w:pStyle w:val="Heading3"/>
        <w:spacing w:after="80" w:before="200"/>
      </w:pPr>
      <w:r>
        <w:rPr>
          <w:rFonts w:ascii="Arial" w:cs="Arial" w:eastAsia="Arial" w:hAnsi="Arial"/>
          <w:b/>
          <w:bCs/>
          <w:color w:val="E8673A"/>
          <w:sz w:val="22"/>
          <w:szCs w:val="22"/>
        </w:rPr>
        <w:t xml:space="preserve">Self-report accuracy</w:t>
      </w:r>
    </w:p>
    <w:p>
      <w:pPr>
        <w:spacing w:after="100" w:before="60"/>
      </w:pPr>
      <w:r>
        <w:rPr>
          <w:rFonts w:ascii="Arial" w:cs="Arial" w:eastAsia="Arial" w:hAnsi="Arial"/>
          <w:color w:val="0E0B07"/>
          <w:sz w:val="22"/>
          <w:szCs w:val="22"/>
        </w:rPr>
        <w:t xml:space="preserve">All measurements are based on self-report. Social desirability bias, limited self-knowledge, and context-dependence all affect accuracy. The binary question format and behavioral framing reduce (but do not eliminate) these effects. Attune's results describe how people currently understand their own patterns — which is itself useful — but not necessarily how they would appear to an outside observer.</w:t>
      </w:r>
    </w:p>
    <w:p>
      <w:pPr>
        <w:spacing w:after="80" w:before="0"/>
      </w:pPr>
    </w:p>
    <w:p>
      <w:pPr>
        <w:pStyle w:val="Heading3"/>
        <w:spacing w:after="80" w:before="200"/>
      </w:pPr>
      <w:r>
        <w:rPr>
          <w:rFonts w:ascii="Arial" w:cs="Arial" w:eastAsia="Arial" w:hAnsi="Arial"/>
          <w:b/>
          <w:bCs/>
          <w:color w:val="E8673A"/>
          <w:sz w:val="22"/>
          <w:szCs w:val="22"/>
        </w:rPr>
        <w:t xml:space="preserve">Fixed thresholds</w:t>
      </w:r>
    </w:p>
    <w:p>
      <w:pPr>
        <w:spacing w:after="100" w:before="60"/>
      </w:pPr>
      <w:r>
        <w:rPr>
          <w:rFonts w:ascii="Arial" w:cs="Arial" w:eastAsia="Arial" w:hAnsi="Arial"/>
          <w:color w:val="0E0B07"/>
          <w:sz w:val="22"/>
          <w:szCs w:val="22"/>
        </w:rPr>
        <w:t xml:space="preserve">The axis thresholds (e.g., energy &gt; 3.0 = Outward) are based on scale construction logic, not normative validation against a population sample. A person who scores 3.1 and a person who scores 4.8 both receive the 'E' designation. As Attune accumulates user data, quantile-based thresholds calibrated to the actual distribution of responses will improve precision.</w:t>
      </w:r>
    </w:p>
    <w:p>
      <w:pPr>
        <w:spacing w:after="80" w:before="0"/>
      </w:pPr>
    </w:p>
    <w:p>
      <w:pPr>
        <w:pStyle w:val="Heading3"/>
        <w:spacing w:after="80" w:before="200"/>
      </w:pPr>
      <w:r>
        <w:rPr>
          <w:rFonts w:ascii="Arial" w:cs="Arial" w:eastAsia="Arial" w:hAnsi="Arial"/>
          <w:b/>
          <w:bCs/>
          <w:color w:val="E8673A"/>
          <w:sz w:val="22"/>
          <w:szCs w:val="22"/>
        </w:rPr>
        <w:t xml:space="preserve">Types are patterns, not diagnoses</w:t>
      </w:r>
    </w:p>
    <w:p>
      <w:pPr>
        <w:spacing w:after="100" w:before="60"/>
      </w:pPr>
      <w:r>
        <w:rPr>
          <w:rFonts w:ascii="Arial" w:cs="Arial" w:eastAsia="Arial" w:hAnsi="Arial"/>
          <w:color w:val="0E0B07"/>
          <w:sz w:val="22"/>
          <w:szCs w:val="22"/>
        </w:rPr>
        <w:t xml:space="preserve">The 25 couple types are named patterns, not fixed categories. The type with the highest score in the derivation system wins — which means couples near a boundary between two types may be accurately described by both. The type name is a starting point for understanding, not a permanent label.</w:t>
      </w:r>
    </w:p>
    <w:p>
      <w:pPr>
        <w:spacing w:after="80" w:before="0"/>
      </w:pPr>
    </w:p>
    <w:p>
      <w:pPr>
        <w:pStyle w:val="Heading3"/>
        <w:spacing w:after="80" w:before="200"/>
      </w:pPr>
      <w:r>
        <w:rPr>
          <w:rFonts w:ascii="Arial" w:cs="Arial" w:eastAsia="Arial" w:hAnsi="Arial"/>
          <w:b/>
          <w:bCs/>
          <w:color w:val="E8673A"/>
          <w:sz w:val="22"/>
          <w:szCs w:val="22"/>
        </w:rPr>
        <w:t xml:space="preserve">Retake variation</w:t>
      </w:r>
    </w:p>
    <w:p>
      <w:pPr>
        <w:spacing w:after="100" w:before="60"/>
      </w:pPr>
      <w:r>
        <w:rPr>
          <w:rFonts w:ascii="Arial" w:cs="Arial" w:eastAsia="Arial" w:hAnsi="Arial"/>
          <w:color w:val="0E0B07"/>
          <w:sz w:val="22"/>
          <w:szCs w:val="22"/>
        </w:rPr>
        <w:t xml:space="preserve">Because the scoring system uses continuous dimension scores, small changes in answers between sessions can shift type assignments for couples near a type boundary. Attune is most accurate when both partners answer honestly and independently in a single session. It is not designed to track change over time within a single version.</w:t>
      </w:r>
    </w:p>
    <w:p>
      <w:pPr>
        <w:spacing w:after="80" w:before="0"/>
      </w:pPr>
    </w:p>
    <w:p>
      <w:pPr>
        <w:pStyle w:val="Heading3"/>
        <w:spacing w:after="80" w:before="200"/>
      </w:pPr>
      <w:r>
        <w:rPr>
          <w:rFonts w:ascii="Arial" w:cs="Arial" w:eastAsia="Arial" w:hAnsi="Arial"/>
          <w:b/>
          <w:bCs/>
          <w:color w:val="E8673A"/>
          <w:sz w:val="22"/>
          <w:szCs w:val="22"/>
        </w:rPr>
        <w:t xml:space="preserve">Cultural scope</w:t>
      </w:r>
    </w:p>
    <w:p>
      <w:pPr>
        <w:spacing w:after="100" w:before="60"/>
      </w:pPr>
      <w:r>
        <w:rPr>
          <w:rFonts w:ascii="Arial" w:cs="Arial" w:eastAsia="Arial" w:hAnsi="Arial"/>
          <w:color w:val="0E0B07"/>
          <w:sz w:val="22"/>
          <w:szCs w:val="22"/>
        </w:rPr>
        <w:t xml:space="preserve">The research literature underlying Attune's measurement system comes predominantly from Western, English-speaking populations. Emotional expression norms, attachment behaviour, conflict engagement patterns, and closeness orientation all have documented cross-cultural variation. Attune's framing and axis labels should be treated as culturally situated, not universal.</w:t>
      </w:r>
    </w:p>
    <w:p>
      <w:pPr>
        <w:spacing w:after="80" w:before="0"/>
      </w:pPr>
    </w:p>
    <w:p>
      <w:pPr>
        <w:pStyle w:val="Heading3"/>
        <w:spacing w:after="80" w:before="200"/>
      </w:pPr>
      <w:r>
        <w:rPr>
          <w:rFonts w:ascii="Arial" w:cs="Arial" w:eastAsia="Arial" w:hAnsi="Arial"/>
          <w:b/>
          <w:bCs/>
          <w:color w:val="E8673A"/>
          <w:sz w:val="22"/>
          <w:szCs w:val="22"/>
        </w:rPr>
        <w:t xml:space="preserve">Not a clinical tool</w:t>
      </w:r>
    </w:p>
    <w:p>
      <w:pPr>
        <w:spacing w:after="100" w:before="60"/>
      </w:pPr>
      <w:r>
        <w:rPr>
          <w:rFonts w:ascii="Arial" w:cs="Arial" w:eastAsia="Arial" w:hAnsi="Arial"/>
          <w:color w:val="0E0B07"/>
          <w:sz w:val="22"/>
          <w:szCs w:val="22"/>
        </w:rPr>
        <w:t xml:space="preserve">Attune is not a substitute for couples therapy, and its results do not constitute clinical assessment. If a couple is navigating serious relational distress, trauma history, mental health challenges, or other clinical concerns, a licensed couples therapist is the appropriate resource. Attune results can be useful context for a therapist but are not intended to replace professional support.</w:t>
      </w:r>
    </w:p>
    <w:p>
      <w:pPr>
        <w:spacing w:after="160" w:before="0"/>
      </w:pPr>
    </w:p>
    <w:p>
      <w:pPr>
        <w:pStyle w:val="Heading1"/>
        <w:spacing w:after="180" w:before="440"/>
      </w:pPr>
      <w:r>
        <w:rPr>
          <w:rFonts w:ascii="Arial" w:cs="Arial" w:eastAsia="Arial" w:hAnsi="Arial"/>
          <w:b/>
          <w:bCs/>
          <w:color w:val="0E0B07"/>
          <w:sz w:val="36"/>
          <w:szCs w:val="36"/>
        </w:rPr>
        <w:t xml:space="preserve">Research References</w:t>
      </w:r>
    </w:p>
    <w:p>
      <w:pPr>
        <w:spacing w:after="100" w:before="60"/>
      </w:pPr>
      <w:r>
        <w:rPr>
          <w:rFonts w:ascii="Arial" w:cs="Arial" w:eastAsia="Arial" w:hAnsi="Arial"/>
          <w:color w:val="0E0B07"/>
          <w:sz w:val="22"/>
          <w:szCs w:val="22"/>
        </w:rPr>
        <w:t xml:space="preserve">Baucom, B. R., et al. (2015). Prediction of treatment response from pre-treatment physiological arousal in couples therapy. Journal of Consulting and Clinical Psychology.</w:t>
      </w:r>
    </w:p>
    <w:p>
      <w:pPr>
        <w:spacing w:after="100" w:before="60"/>
      </w:pPr>
      <w:r>
        <w:rPr>
          <w:rFonts w:ascii="Arial" w:cs="Arial" w:eastAsia="Arial" w:hAnsi="Arial"/>
          <w:color w:val="0E0B07"/>
          <w:sz w:val="22"/>
          <w:szCs w:val="22"/>
        </w:rPr>
        <w:t xml:space="preserve">Baucom, D. H., &amp; Epstein, N. B. (2002). Enhanced cognitive-behavioral therapy for couples. American Psychological Association.</w:t>
      </w:r>
    </w:p>
    <w:p>
      <w:pPr>
        <w:spacing w:after="100" w:before="60"/>
      </w:pPr>
      <w:r>
        <w:rPr>
          <w:rFonts w:ascii="Arial" w:cs="Arial" w:eastAsia="Arial" w:hAnsi="Arial"/>
          <w:color w:val="0E0B07"/>
          <w:sz w:val="22"/>
          <w:szCs w:val="22"/>
        </w:rPr>
        <w:t xml:space="preserve">Bodenmann, G. (2005). Dyadic coping and its significance for marital functioning. In T. Revenson et al. (Eds.), Couples coping with stress. American Psychological Association.</w:t>
      </w:r>
    </w:p>
    <w:p>
      <w:pPr>
        <w:spacing w:after="100" w:before="60"/>
      </w:pPr>
      <w:r>
        <w:rPr>
          <w:rFonts w:ascii="Arial" w:cs="Arial" w:eastAsia="Arial" w:hAnsi="Arial"/>
          <w:color w:val="0E0B07"/>
          <w:sz w:val="22"/>
          <w:szCs w:val="22"/>
        </w:rPr>
        <w:t xml:space="preserve">Bowlby, J. (1969). Attachment and loss, Vol. 1. Basic Books.</w:t>
      </w:r>
    </w:p>
    <w:p>
      <w:pPr>
        <w:spacing w:after="100" w:before="60"/>
      </w:pPr>
      <w:r>
        <w:rPr>
          <w:rFonts w:ascii="Arial" w:cs="Arial" w:eastAsia="Arial" w:hAnsi="Arial"/>
          <w:color w:val="0E0B07"/>
          <w:sz w:val="22"/>
          <w:szCs w:val="22"/>
        </w:rPr>
        <w:t xml:space="preserve">Chapman, G. (1992). The five love languages. Northfield Publishing.</w:t>
      </w:r>
    </w:p>
    <w:p>
      <w:pPr>
        <w:spacing w:after="100" w:before="60"/>
      </w:pPr>
      <w:r>
        <w:rPr>
          <w:rFonts w:ascii="Arial" w:cs="Arial" w:eastAsia="Arial" w:hAnsi="Arial"/>
          <w:color w:val="0E0B07"/>
          <w:sz w:val="22"/>
          <w:szCs w:val="22"/>
        </w:rPr>
        <w:t xml:space="preserve">DePaulo, B. M., &amp; Kashy, D. A. (1998). Everyday lies in close and casual relationships. Journal of Personality and Social Psychology, 74(1), 63–79.</w:t>
      </w:r>
    </w:p>
    <w:p>
      <w:pPr>
        <w:spacing w:after="100" w:before="60"/>
      </w:pPr>
      <w:r>
        <w:rPr>
          <w:rFonts w:ascii="Arial" w:cs="Arial" w:eastAsia="Arial" w:hAnsi="Arial"/>
          <w:color w:val="0E0B07"/>
          <w:sz w:val="22"/>
          <w:szCs w:val="22"/>
        </w:rPr>
        <w:t xml:space="preserve">Eysenck, H. J. (1967). The biological basis of personality. Thomas.</w:t>
      </w:r>
    </w:p>
    <w:p>
      <w:pPr>
        <w:spacing w:after="100" w:before="60"/>
      </w:pPr>
      <w:r>
        <w:rPr>
          <w:rFonts w:ascii="Arial" w:cs="Arial" w:eastAsia="Arial" w:hAnsi="Arial"/>
          <w:color w:val="0E0B07"/>
          <w:sz w:val="22"/>
          <w:szCs w:val="22"/>
        </w:rPr>
        <w:t xml:space="preserve">Goff, B. S. N., et al. (2007). The effects of deployment-related absence on fathers, children, and families. Journal of Marital and Family Therapy, 33(4), 462–475.</w:t>
      </w:r>
    </w:p>
    <w:p>
      <w:pPr>
        <w:spacing w:after="100" w:before="60"/>
      </w:pPr>
      <w:r>
        <w:rPr>
          <w:rFonts w:ascii="Arial" w:cs="Arial" w:eastAsia="Arial" w:hAnsi="Arial"/>
          <w:color w:val="0E0B07"/>
          <w:sz w:val="22"/>
          <w:szCs w:val="22"/>
        </w:rPr>
        <w:t xml:space="preserve">Gottman, J. M. (1994). What predicts divorce. Lawrence Erlbaum Associates.</w:t>
      </w:r>
    </w:p>
    <w:p>
      <w:pPr>
        <w:spacing w:after="100" w:before="60"/>
      </w:pPr>
      <w:r>
        <w:rPr>
          <w:rFonts w:ascii="Arial" w:cs="Arial" w:eastAsia="Arial" w:hAnsi="Arial"/>
          <w:color w:val="0E0B07"/>
          <w:sz w:val="22"/>
          <w:szCs w:val="22"/>
        </w:rPr>
        <w:t xml:space="preserve">Gottman, J. M. (2001). The relationship cure. Crown Publishers.</w:t>
      </w:r>
    </w:p>
    <w:p>
      <w:pPr>
        <w:spacing w:after="100" w:before="60"/>
      </w:pPr>
      <w:r>
        <w:rPr>
          <w:rFonts w:ascii="Arial" w:cs="Arial" w:eastAsia="Arial" w:hAnsi="Arial"/>
          <w:color w:val="0E0B07"/>
          <w:sz w:val="22"/>
          <w:szCs w:val="22"/>
        </w:rPr>
        <w:t xml:space="preserve">Gottman, J. M., &amp; Levenson, R. W. (1992). Marital processes predictive of later dissolution. Journal of Personality and Social Psychology, 63(2), 221–233.</w:t>
      </w:r>
    </w:p>
    <w:p>
      <w:pPr>
        <w:spacing w:after="100" w:before="60"/>
      </w:pPr>
      <w:r>
        <w:rPr>
          <w:rFonts w:ascii="Arial" w:cs="Arial" w:eastAsia="Arial" w:hAnsi="Arial"/>
          <w:color w:val="0E0B07"/>
          <w:sz w:val="22"/>
          <w:szCs w:val="22"/>
        </w:rPr>
        <w:t xml:space="preserve">Gottman, J. M., &amp; Silver, N. (1999). The seven principles for making marriage work. Crown Publishers.</w:t>
      </w:r>
    </w:p>
    <w:p>
      <w:pPr>
        <w:spacing w:after="100" w:before="60"/>
      </w:pPr>
      <w:r>
        <w:rPr>
          <w:rFonts w:ascii="Arial" w:cs="Arial" w:eastAsia="Arial" w:hAnsi="Arial"/>
          <w:color w:val="0E0B07"/>
          <w:sz w:val="22"/>
          <w:szCs w:val="22"/>
        </w:rPr>
        <w:t xml:space="preserve">Gray, J. A. (2000). The neuropsychology of anxiety (2nd ed.). Oxford University Press.</w:t>
      </w:r>
    </w:p>
    <w:p>
      <w:pPr>
        <w:spacing w:after="100" w:before="60"/>
      </w:pPr>
      <w:r>
        <w:rPr>
          <w:rFonts w:ascii="Arial" w:cs="Arial" w:eastAsia="Arial" w:hAnsi="Arial"/>
          <w:color w:val="0E0B07"/>
          <w:sz w:val="22"/>
          <w:szCs w:val="22"/>
        </w:rPr>
        <w:t xml:space="preserve">Markman, H. J., Stanley, S. M., &amp; Blumberg, S. L. (2010). Fighting for your marriage. Jossey-Bass.</w:t>
      </w:r>
    </w:p>
    <w:p>
      <w:pPr>
        <w:spacing w:after="100" w:before="60"/>
      </w:pPr>
      <w:r>
        <w:rPr>
          <w:rFonts w:ascii="Arial" w:cs="Arial" w:eastAsia="Arial" w:hAnsi="Arial"/>
          <w:color w:val="0E0B07"/>
          <w:sz w:val="22"/>
          <w:szCs w:val="22"/>
        </w:rPr>
        <w:t xml:space="preserve">Mikulincer, M., &amp; Shaver, P. R. (2007). Attachment in adulthood: Structure, dynamics, and change. Guilford Press.</w:t>
      </w:r>
    </w:p>
    <w:p>
      <w:pPr>
        <w:spacing w:after="100" w:before="60"/>
      </w:pPr>
      <w:r>
        <w:rPr>
          <w:rFonts w:ascii="Arial" w:cs="Arial" w:eastAsia="Arial" w:hAnsi="Arial"/>
          <w:color w:val="0E0B07"/>
          <w:sz w:val="22"/>
          <w:szCs w:val="22"/>
        </w:rPr>
        <w:t xml:space="preserve">Pennebaker, J. W. (1997). Opening up: The healing power of expressing emotions. Guilford Press.</w:t>
      </w:r>
    </w:p>
    <w:p>
      <w:pPr>
        <w:spacing w:after="100" w:before="60"/>
      </w:pPr>
      <w:r>
        <w:rPr>
          <w:rFonts w:ascii="Arial" w:cs="Arial" w:eastAsia="Arial" w:hAnsi="Arial"/>
          <w:color w:val="0E0B07"/>
          <w:sz w:val="22"/>
          <w:szCs w:val="22"/>
        </w:rPr>
        <w:t xml:space="preserve">Reis, H. T., &amp; Shaver, P. (1988). Intimacy as an interpersonal process. In S. Duck (Ed.), Handbook of personal relationships. Wiley.</w:t>
      </w:r>
    </w:p>
    <w:p>
      <w:pPr>
        <w:spacing w:after="100" w:before="60"/>
      </w:pPr>
      <w:r>
        <w:rPr>
          <w:rFonts w:ascii="Arial" w:cs="Arial" w:eastAsia="Arial" w:hAnsi="Arial"/>
          <w:color w:val="0E0B07"/>
          <w:sz w:val="22"/>
          <w:szCs w:val="22"/>
        </w:rPr>
        <w:t xml:space="preserve">Taylor, S. E., et al. (2000). Biobehavioral responses to stress in females. Psychological Review, 107(3), 411–429.</w:t>
      </w:r>
    </w:p>
    <w:p>
      <w:pPr>
        <w:spacing w:after="160" w:before="0"/>
      </w:pPr>
    </w:p>
    <w:p>
      <w:pPr>
        <w:spacing w:after="60" w:before="0"/>
        <w:jc w:val="center"/>
      </w:pPr>
      <w:r>
        <w:rPr>
          <w:rFonts w:ascii="Arial" w:cs="Arial" w:eastAsia="Arial" w:hAnsi="Arial"/>
          <w:i/>
          <w:iCs/>
          <w:color w:val="8C7A68"/>
          <w:sz w:val="18"/>
          <w:szCs w:val="18"/>
        </w:rPr>
        <w:t xml:space="preserve">Attune Relationships™  ·  attune-relationships.com  ·  hello@attune-relationships.com</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before="40"/>
        <w:ind w:left="560" w:hanging="280"/>
      </w:pPr>
    </w:lvl>
  </w:abstractNum>
  <w:abstractNum w:abstractNumId="3" w15:restartNumberingAfterBreak="0">
    <w:multiLevelType w:val="hybridMultilevel"/>
    <w:lvl w:ilvl="0" w15:tentative="1">
      <w:start w:val="1"/>
      <w:numFmt w:val="decimal"/>
      <w:lvlText w:val="%1."/>
      <w:lvlJc w:val="left"/>
      <w:pPr>
        <w:spacing w:after="40" w:before="40"/>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E0B0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40"/>
      <w:outlineLvl w:val="0"/>
    </w:pPr>
    <w:rPr>
      <w:rFonts w:ascii="Arial" w:cs="Arial" w:eastAsia="Arial" w:hAnsi="Arial"/>
      <w:b/>
      <w:bCs/>
      <w:color w:val="0E0B07"/>
      <w:sz w:val="36"/>
      <w:szCs w:val="36"/>
    </w:rPr>
  </w:style>
  <w:style w:type="paragraph" w:styleId="Heading2">
    <w:name w:val="Heading 2"/>
    <w:basedOn w:val="Normal"/>
    <w:next w:val="Normal"/>
    <w:qFormat/>
    <w:pPr>
      <w:spacing w:after="120" w:before="300"/>
      <w:outlineLvl w:val="1"/>
    </w:pPr>
    <w:rPr>
      <w:rFonts w:ascii="Arial" w:cs="Arial" w:eastAsia="Arial" w:hAnsi="Arial"/>
      <w:b/>
      <w:bCs/>
      <w:color w:val="0E0B07"/>
      <w:sz w:val="26"/>
      <w:szCs w:val="26"/>
    </w:rPr>
  </w:style>
  <w:style w:type="paragraph" w:styleId="Heading3">
    <w:name w:val="Heading 3"/>
    <w:basedOn w:val="Normal"/>
    <w:next w:val="Normal"/>
    <w:qFormat/>
    <w:pPr>
      <w:spacing w:after="80" w:before="200"/>
      <w:outlineLvl w:val="2"/>
    </w:pPr>
    <w:rPr>
      <w:rFonts w:ascii="Arial" w:cs="Arial" w:eastAsia="Arial" w:hAnsi="Arial"/>
      <w:b/>
      <w:bCs/>
      <w:color w:val="0E0B0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2026-03-24T22:21:25.126Z</dcterms:created>
  <dcterms:modified xsi:type="dcterms:W3CDTF">2026-03-24T22:21:25.127Z</dcterms:modified>
</cp:coreProperties>
</file>

<file path=docProps/custom.xml><?xml version="1.0" encoding="utf-8"?>
<Properties xmlns="http://schemas.openxmlformats.org/officeDocument/2006/custom-properties" xmlns:vt="http://schemas.openxmlformats.org/officeDocument/2006/docPropsVTypes"/>
</file>